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C6C73" w14:textId="2205BFBE" w:rsidR="00E229ED" w:rsidRPr="00AE7F84" w:rsidRDefault="00E229ED" w:rsidP="00E229ED">
      <w:pPr>
        <w:tabs>
          <w:tab w:val="center" w:pos="4536"/>
          <w:tab w:val="right" w:pos="9781"/>
        </w:tabs>
        <w:ind w:right="-58"/>
        <w:rPr>
          <w:rFonts w:ascii="Arial" w:hAnsi="Arial" w:cs="Arial"/>
          <w:b/>
          <w:bCs/>
          <w:sz w:val="24"/>
        </w:rPr>
      </w:pPr>
      <w:bookmarkStart w:id="0" w:name="OLE_LINK6"/>
      <w:bookmarkStart w:id="1" w:name="OLE_LINK7"/>
      <w:r w:rsidRPr="00AE7F84">
        <w:rPr>
          <w:rFonts w:ascii="Arial" w:hAnsi="Arial" w:cs="Arial"/>
          <w:b/>
          <w:bCs/>
          <w:sz w:val="24"/>
        </w:rPr>
        <w:t>3GPP TSG RAN WG1 Meeting #92</w:t>
      </w:r>
      <w:r w:rsidRPr="00AE7F84">
        <w:rPr>
          <w:rFonts w:ascii="Arial" w:hAnsi="Arial" w:cs="Arial"/>
          <w:b/>
          <w:bCs/>
          <w:sz w:val="24"/>
        </w:rPr>
        <w:tab/>
      </w:r>
      <w:r w:rsidRPr="00AE7F84">
        <w:rPr>
          <w:rFonts w:ascii="Arial" w:hAnsi="Arial" w:cs="Arial"/>
          <w:b/>
          <w:bCs/>
          <w:sz w:val="24"/>
        </w:rPr>
        <w:tab/>
        <w:t>R1-18</w:t>
      </w:r>
      <w:r w:rsidR="00DA6018">
        <w:rPr>
          <w:rFonts w:ascii="Arial" w:hAnsi="Arial" w:cs="Arial"/>
          <w:b/>
          <w:bCs/>
          <w:sz w:val="24"/>
        </w:rPr>
        <w:t>02863</w:t>
      </w:r>
    </w:p>
    <w:p w14:paraId="0CABD070" w14:textId="6C1D3642" w:rsidR="00AE7F84" w:rsidRDefault="00AE7F84" w:rsidP="00E229ED">
      <w:pPr>
        <w:tabs>
          <w:tab w:val="center" w:pos="4536"/>
          <w:tab w:val="right" w:pos="9072"/>
        </w:tabs>
        <w:jc w:val="left"/>
        <w:rPr>
          <w:rFonts w:ascii="Arial" w:hAnsi="Arial" w:cs="Arial"/>
          <w:b/>
          <w:bCs/>
          <w:kern w:val="0"/>
          <w:sz w:val="24"/>
        </w:rPr>
      </w:pPr>
      <w:r w:rsidRPr="00AE7F84">
        <w:rPr>
          <w:rFonts w:ascii="Arial" w:hAnsi="Arial" w:cs="Arial"/>
          <w:b/>
          <w:bCs/>
          <w:kern w:val="0"/>
          <w:sz w:val="24"/>
        </w:rPr>
        <w:t>Athens, Greece</w:t>
      </w:r>
    </w:p>
    <w:p w14:paraId="4B0BD4B9" w14:textId="77777777" w:rsidR="009D59F5" w:rsidRPr="00AE7F84" w:rsidRDefault="009D59F5" w:rsidP="009D59F5">
      <w:pPr>
        <w:tabs>
          <w:tab w:val="center" w:pos="4536"/>
          <w:tab w:val="right" w:pos="9072"/>
        </w:tabs>
        <w:jc w:val="left"/>
        <w:rPr>
          <w:rFonts w:ascii="Arial" w:hAnsi="Arial" w:cs="Arial"/>
          <w:b/>
          <w:bCs/>
          <w:kern w:val="0"/>
          <w:sz w:val="24"/>
        </w:rPr>
      </w:pPr>
      <w:r w:rsidRPr="00AE7F84">
        <w:rPr>
          <w:rFonts w:ascii="Arial" w:hAnsi="Arial" w:cs="Arial"/>
          <w:b/>
          <w:bCs/>
          <w:kern w:val="0"/>
          <w:sz w:val="24"/>
        </w:rPr>
        <w:t>Feb 26</w:t>
      </w:r>
      <w:r w:rsidRPr="00AE7F84">
        <w:rPr>
          <w:rFonts w:ascii="Arial" w:hAnsi="Arial" w:cs="Arial"/>
          <w:b/>
          <w:bCs/>
          <w:kern w:val="0"/>
          <w:sz w:val="24"/>
          <w:vertAlign w:val="superscript"/>
        </w:rPr>
        <w:t>th</w:t>
      </w:r>
      <w:r w:rsidRPr="00AE7F84">
        <w:rPr>
          <w:rFonts w:ascii="Arial" w:hAnsi="Arial" w:cs="Arial"/>
          <w:b/>
          <w:bCs/>
          <w:kern w:val="0"/>
          <w:sz w:val="24"/>
        </w:rPr>
        <w:t xml:space="preserve"> – March 2</w:t>
      </w:r>
      <w:r w:rsidRPr="00AE7F84">
        <w:rPr>
          <w:rFonts w:ascii="Arial" w:hAnsi="Arial" w:cs="Arial"/>
          <w:b/>
          <w:bCs/>
          <w:kern w:val="0"/>
          <w:sz w:val="24"/>
          <w:vertAlign w:val="superscript"/>
        </w:rPr>
        <w:t>nd</w:t>
      </w:r>
      <w:r w:rsidRPr="00AE7F84">
        <w:rPr>
          <w:rFonts w:ascii="Arial" w:hAnsi="Arial" w:cs="Arial"/>
          <w:b/>
          <w:bCs/>
          <w:kern w:val="0"/>
          <w:sz w:val="24"/>
        </w:rPr>
        <w:t>, 2018</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4498E683"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E229ED">
        <w:rPr>
          <w:rFonts w:ascii="Arial" w:hAnsi="Arial" w:cs="Arial"/>
          <w:snapToGrid w:val="0"/>
          <w:sz w:val="24"/>
        </w:rPr>
        <w:t>7.6.</w:t>
      </w:r>
      <w:r w:rsidR="00EB2F82">
        <w:rPr>
          <w:rFonts w:ascii="Arial" w:hAnsi="Arial" w:cs="Arial"/>
          <w:snapToGrid w:val="0"/>
          <w:sz w:val="24"/>
        </w:rPr>
        <w:t>2</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847EFE4"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815A50">
        <w:rPr>
          <w:rFonts w:ascii="Arial" w:hAnsi="Arial" w:cs="Arial"/>
          <w:snapToGrid w:val="0"/>
          <w:sz w:val="24"/>
        </w:rPr>
        <w:t>Deployment Scenarios</w:t>
      </w:r>
      <w:r w:rsidR="003D42DC">
        <w:rPr>
          <w:rFonts w:ascii="Arial" w:hAnsi="Arial" w:cs="Arial"/>
          <w:snapToGrid w:val="0"/>
          <w:sz w:val="24"/>
        </w:rPr>
        <w:t xml:space="preserve"> for NR unlicensed</w:t>
      </w:r>
    </w:p>
    <w:p w14:paraId="62BEAD57" w14:textId="737004AB"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p>
    <w:p w14:paraId="7AB7E55C" w14:textId="4B42D272" w:rsidR="00E80D0C" w:rsidRPr="00392E7D" w:rsidRDefault="00E80D0C" w:rsidP="00AE7F84">
      <w:pPr>
        <w:pStyle w:val="Heading1"/>
      </w:pPr>
      <w:r w:rsidRPr="00392E7D">
        <w:t>Introduction</w:t>
      </w:r>
    </w:p>
    <w:p w14:paraId="4EA162FA" w14:textId="77777777" w:rsidR="001C5F07" w:rsidRPr="00877E49" w:rsidRDefault="001C5F07" w:rsidP="001C5F07">
      <w:pPr>
        <w:pStyle w:val="LGTdoc1"/>
        <w:spacing w:beforeLines="0" w:before="120" w:after="220" w:afterAutospacing="0"/>
        <w:rPr>
          <w:b w:val="0"/>
          <w:sz w:val="20"/>
        </w:rPr>
      </w:pPr>
      <w:r w:rsidRPr="00877E49">
        <w:rPr>
          <w:b w:val="0"/>
          <w:sz w:val="20"/>
        </w:rPr>
        <w:t>In RAN#76 a new SI [1] for NR based access to unlicensed spectrum was introduced. The objectives of the SI are as follows:</w:t>
      </w:r>
    </w:p>
    <w:p w14:paraId="205F015D" w14:textId="77777777" w:rsidR="001C5F07" w:rsidRPr="00877E49" w:rsidRDefault="001C5F07" w:rsidP="001C5F07">
      <w:pPr>
        <w:widowControl/>
        <w:numPr>
          <w:ilvl w:val="0"/>
          <w:numId w:val="18"/>
        </w:numPr>
        <w:wordWrap/>
        <w:overflowPunct w:val="0"/>
        <w:adjustRightInd w:val="0"/>
        <w:ind w:left="360"/>
        <w:jc w:val="left"/>
        <w:textAlignment w:val="baseline"/>
        <w:rPr>
          <w:rFonts w:ascii="Times New Roman"/>
          <w:bCs/>
          <w:szCs w:val="20"/>
        </w:rPr>
      </w:pPr>
      <w:r w:rsidRPr="00877E49">
        <w:rPr>
          <w:rFonts w:ascii="Times New Roman"/>
          <w:bCs/>
          <w:szCs w:val="20"/>
        </w:rPr>
        <w:t xml:space="preserve">Study NR-based operation in unlicensed spectrum (RAN1, RAN2, RAN4) including </w:t>
      </w:r>
    </w:p>
    <w:p w14:paraId="77C41FE1" w14:textId="77777777" w:rsidR="001C5F07" w:rsidRPr="00877E49" w:rsidRDefault="001C5F07" w:rsidP="001C5F07">
      <w:pPr>
        <w:widowControl/>
        <w:numPr>
          <w:ilvl w:val="1"/>
          <w:numId w:val="19"/>
        </w:numPr>
        <w:wordWrap/>
        <w:overflowPunct w:val="0"/>
        <w:adjustRightInd w:val="0"/>
        <w:ind w:left="1080"/>
        <w:jc w:val="left"/>
        <w:textAlignment w:val="baseline"/>
        <w:rPr>
          <w:rFonts w:ascii="Times New Roman"/>
          <w:bCs/>
          <w:szCs w:val="20"/>
        </w:rPr>
      </w:pPr>
      <w:r w:rsidRPr="00877E49">
        <w:rPr>
          <w:rFonts w:ascii="Times New Roman"/>
          <w:bCs/>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3A07E570" w14:textId="77777777" w:rsidR="001C5F07" w:rsidRPr="00877E49" w:rsidRDefault="001C5F07" w:rsidP="001C5F07">
      <w:pPr>
        <w:widowControl/>
        <w:numPr>
          <w:ilvl w:val="2"/>
          <w:numId w:val="19"/>
        </w:numPr>
        <w:wordWrap/>
        <w:overflowPunct w:val="0"/>
        <w:adjustRightInd w:val="0"/>
        <w:ind w:left="1800"/>
        <w:jc w:val="left"/>
        <w:textAlignment w:val="baseline"/>
        <w:rPr>
          <w:rFonts w:ascii="Times New Roman"/>
          <w:bCs/>
          <w:szCs w:val="20"/>
        </w:rPr>
      </w:pPr>
      <w:r w:rsidRPr="00877E49">
        <w:rPr>
          <w:rFonts w:ascii="Times New Roman"/>
          <w:bCs/>
          <w:szCs w:val="20"/>
        </w:rPr>
        <w:t>Consider unlicensed bands both below and above 6GHz, up to 52.6GHz</w:t>
      </w:r>
    </w:p>
    <w:p w14:paraId="5BF9C656" w14:textId="77777777" w:rsidR="001C5F07" w:rsidRPr="00877E49" w:rsidRDefault="001C5F07" w:rsidP="001C5F07">
      <w:pPr>
        <w:widowControl/>
        <w:numPr>
          <w:ilvl w:val="2"/>
          <w:numId w:val="19"/>
        </w:numPr>
        <w:wordWrap/>
        <w:overflowPunct w:val="0"/>
        <w:adjustRightInd w:val="0"/>
        <w:ind w:left="1800"/>
        <w:jc w:val="left"/>
        <w:textAlignment w:val="baseline"/>
        <w:rPr>
          <w:rFonts w:ascii="Times New Roman"/>
          <w:bCs/>
          <w:szCs w:val="20"/>
        </w:rPr>
      </w:pPr>
      <w:r w:rsidRPr="00877E49">
        <w:rPr>
          <w:rFonts w:ascii="Times New Roman"/>
          <w:bCs/>
          <w:szCs w:val="20"/>
        </w:rPr>
        <w:t xml:space="preserve">Consider unlicensed bands above 52.6GHz to the extent that waveform design principles remain unchanged with respect to below 52.6GHz bands </w:t>
      </w:r>
    </w:p>
    <w:p w14:paraId="183ACA7B" w14:textId="77777777" w:rsidR="001C5F07" w:rsidRPr="00877E49" w:rsidRDefault="001C5F07" w:rsidP="001C5F07">
      <w:pPr>
        <w:widowControl/>
        <w:numPr>
          <w:ilvl w:val="2"/>
          <w:numId w:val="19"/>
        </w:numPr>
        <w:wordWrap/>
        <w:overflowPunct w:val="0"/>
        <w:adjustRightInd w:val="0"/>
        <w:ind w:left="1800"/>
        <w:jc w:val="left"/>
        <w:textAlignment w:val="baseline"/>
        <w:rPr>
          <w:rFonts w:ascii="Times New Roman"/>
          <w:bCs/>
          <w:szCs w:val="20"/>
        </w:rPr>
      </w:pPr>
      <w:r w:rsidRPr="00877E49">
        <w:rPr>
          <w:rFonts w:ascii="Times New Roman"/>
          <w:bCs/>
          <w:szCs w:val="20"/>
          <w:lang w:eastAsia="zh-CN"/>
        </w:rPr>
        <w:t>Consider similar forward compatibility principles made in the NR WI</w:t>
      </w:r>
      <w:r w:rsidRPr="00877E49">
        <w:rPr>
          <w:rFonts w:ascii="Times New Roman"/>
          <w:bCs/>
          <w:szCs w:val="20"/>
        </w:rPr>
        <w:t xml:space="preserve"> </w:t>
      </w:r>
    </w:p>
    <w:p w14:paraId="2276801E" w14:textId="77777777" w:rsidR="001C5F07" w:rsidRPr="00877E49" w:rsidRDefault="001C5F07" w:rsidP="001C5F07">
      <w:pPr>
        <w:widowControl/>
        <w:numPr>
          <w:ilvl w:val="1"/>
          <w:numId w:val="19"/>
        </w:numPr>
        <w:wordWrap/>
        <w:overflowPunct w:val="0"/>
        <w:adjustRightInd w:val="0"/>
        <w:ind w:left="1080"/>
        <w:jc w:val="left"/>
        <w:textAlignment w:val="baseline"/>
        <w:rPr>
          <w:rFonts w:ascii="Times New Roman"/>
          <w:bCs/>
          <w:szCs w:val="20"/>
        </w:rPr>
      </w:pPr>
      <w:r w:rsidRPr="00877E49">
        <w:rPr>
          <w:rFonts w:ascii="Times New Roman"/>
          <w:bCs/>
          <w:szCs w:val="20"/>
        </w:rPr>
        <w:t>Initial access, channel access. Scheduling/HARQ, and mobility including connected/inactive/idle mode operation and radio-link monitoring/failure</w:t>
      </w:r>
    </w:p>
    <w:p w14:paraId="371DB18D" w14:textId="77777777" w:rsidR="001C5F07" w:rsidRPr="00877E49" w:rsidRDefault="001C5F07" w:rsidP="001C5F07">
      <w:pPr>
        <w:widowControl/>
        <w:numPr>
          <w:ilvl w:val="1"/>
          <w:numId w:val="19"/>
        </w:numPr>
        <w:wordWrap/>
        <w:overflowPunct w:val="0"/>
        <w:adjustRightInd w:val="0"/>
        <w:ind w:left="1080"/>
        <w:jc w:val="left"/>
        <w:textAlignment w:val="baseline"/>
        <w:rPr>
          <w:rFonts w:ascii="Times New Roman"/>
          <w:bCs/>
          <w:szCs w:val="20"/>
        </w:rPr>
      </w:pPr>
      <w:r w:rsidRPr="00877E49">
        <w:rPr>
          <w:rFonts w:ascii="Times New Roman"/>
          <w:bCs/>
          <w:szCs w:val="20"/>
        </w:rPr>
        <w:t xml:space="preserve">Coexistence methods within NR-based and between NR-based operation in unlicensed and LTE-based LAA and with other incumbent RATs in accordance with regulatory requirements in e.g., 5GHz , 37GHz, 60GHz bands </w:t>
      </w:r>
    </w:p>
    <w:p w14:paraId="09313FF9" w14:textId="77777777" w:rsidR="001C5F07" w:rsidRPr="00877E49" w:rsidRDefault="001C5F07" w:rsidP="001C5F07">
      <w:pPr>
        <w:widowControl/>
        <w:numPr>
          <w:ilvl w:val="2"/>
          <w:numId w:val="19"/>
        </w:numPr>
        <w:wordWrap/>
        <w:overflowPunct w:val="0"/>
        <w:adjustRightInd w:val="0"/>
        <w:ind w:left="1800"/>
        <w:jc w:val="left"/>
        <w:textAlignment w:val="baseline"/>
        <w:rPr>
          <w:rFonts w:ascii="Times New Roman"/>
          <w:bCs/>
          <w:szCs w:val="20"/>
        </w:rPr>
      </w:pPr>
      <w:r w:rsidRPr="00877E49">
        <w:rPr>
          <w:rFonts w:ascii="Times New Roman"/>
          <w:bCs/>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2D0BE8B4" w14:textId="043DF16E" w:rsidR="00B559A2" w:rsidRPr="00877E49" w:rsidRDefault="00B559A2" w:rsidP="00111B9A">
      <w:pPr>
        <w:overflowPunct w:val="0"/>
        <w:adjustRightInd w:val="0"/>
        <w:spacing w:after="120"/>
        <w:contextualSpacing/>
        <w:textAlignment w:val="baseline"/>
        <w:rPr>
          <w:rFonts w:ascii="Times New Roman"/>
          <w:snapToGrid w:val="0"/>
          <w:kern w:val="0"/>
          <w:szCs w:val="20"/>
          <w:lang w:val="en-GB"/>
        </w:rPr>
      </w:pPr>
    </w:p>
    <w:p w14:paraId="66284953" w14:textId="5B81900E" w:rsidR="00B559A2" w:rsidRPr="00877E49" w:rsidRDefault="00B559A2" w:rsidP="001557DC">
      <w:pPr>
        <w:overflowPunct w:val="0"/>
        <w:adjustRightInd w:val="0"/>
        <w:spacing w:after="120"/>
        <w:contextualSpacing/>
        <w:jc w:val="left"/>
        <w:textAlignment w:val="baseline"/>
        <w:rPr>
          <w:rFonts w:ascii="Times New Roman"/>
          <w:snapToGrid w:val="0"/>
          <w:kern w:val="0"/>
          <w:szCs w:val="20"/>
          <w:lang w:val="en-GB"/>
        </w:rPr>
      </w:pPr>
      <w:r w:rsidRPr="00877E49">
        <w:rPr>
          <w:rFonts w:ascii="Times New Roman"/>
          <w:snapToGrid w:val="0"/>
          <w:kern w:val="0"/>
          <w:szCs w:val="20"/>
          <w:lang w:val="en-GB"/>
        </w:rPr>
        <w:t xml:space="preserve">In this contribution we provide </w:t>
      </w:r>
      <w:r w:rsidR="00815A50" w:rsidRPr="00877E49">
        <w:rPr>
          <w:rFonts w:ascii="Times New Roman"/>
          <w:snapToGrid w:val="0"/>
          <w:kern w:val="0"/>
          <w:szCs w:val="20"/>
          <w:lang w:val="en-GB"/>
        </w:rPr>
        <w:t>our views on the deployment scenarios to support for NR unlicensed.</w:t>
      </w:r>
    </w:p>
    <w:p w14:paraId="717869EF" w14:textId="2667734D" w:rsidR="00815A50" w:rsidRDefault="00B10A9E" w:rsidP="00AE7F84">
      <w:pPr>
        <w:pStyle w:val="Heading1"/>
      </w:pPr>
      <w:r>
        <w:t xml:space="preserve">Carrier Aggregation </w:t>
      </w:r>
    </w:p>
    <w:p w14:paraId="36C9EF71" w14:textId="75864DD5" w:rsidR="008A414C" w:rsidRPr="00877E49" w:rsidRDefault="00B10A9E" w:rsidP="00D760F4">
      <w:pPr>
        <w:pStyle w:val="LGTdoc1"/>
        <w:spacing w:beforeLines="0" w:before="120" w:after="220" w:afterAutospacing="0"/>
        <w:rPr>
          <w:b w:val="0"/>
          <w:sz w:val="20"/>
        </w:rPr>
      </w:pPr>
      <w:r w:rsidRPr="00877E49">
        <w:rPr>
          <w:b w:val="0"/>
          <w:sz w:val="20"/>
        </w:rPr>
        <w:t>Licensed assisted access (LAA) based carrier aggregation</w:t>
      </w:r>
      <w:r w:rsidR="00815A50" w:rsidRPr="00877E49">
        <w:rPr>
          <w:b w:val="0"/>
          <w:sz w:val="20"/>
        </w:rPr>
        <w:t xml:space="preserve"> is the most basic scenario for NR unlicensed and involves carrier aggregation of an NR cell in licensed spectrum serving as an anchor carrier with an NR cell in unlicensed </w:t>
      </w:r>
      <w:r w:rsidRPr="00877E49">
        <w:rPr>
          <w:b w:val="0"/>
          <w:sz w:val="20"/>
        </w:rPr>
        <w:t xml:space="preserve">spectrum </w:t>
      </w:r>
      <w:r w:rsidR="00815A50" w:rsidRPr="00877E49">
        <w:rPr>
          <w:b w:val="0"/>
          <w:sz w:val="20"/>
        </w:rPr>
        <w:t>as a secondary carrier.</w:t>
      </w:r>
      <w:r w:rsidR="008A414C" w:rsidRPr="00877E49">
        <w:rPr>
          <w:b w:val="0"/>
          <w:sz w:val="20"/>
        </w:rPr>
        <w:t xml:space="preserve"> There could of course also be multiple carriers in licensed and unlicensed spectrum. </w:t>
      </w:r>
    </w:p>
    <w:p w14:paraId="6F066F79" w14:textId="1CDD39E3" w:rsidR="00B10A9E" w:rsidRPr="00877E49" w:rsidRDefault="008A414C" w:rsidP="00D760F4">
      <w:pPr>
        <w:pStyle w:val="LGTdoc1"/>
        <w:spacing w:beforeLines="0" w:before="120" w:after="220" w:afterAutospacing="0"/>
        <w:rPr>
          <w:b w:val="0"/>
          <w:sz w:val="20"/>
        </w:rPr>
      </w:pPr>
      <w:r w:rsidRPr="00877E49">
        <w:rPr>
          <w:b w:val="0"/>
          <w:sz w:val="20"/>
        </w:rPr>
        <w:t xml:space="preserve">Carrier aggregation between licensed NR cell and unlicensed NR cell allows offloading of both DL and UL data on the unlicensed carrier while maintaining reliability and low latency through the licensed carrier. Availability of the anchor carrier allows trading the offload capacity for more reliability and offers design choices that are not available in a standalone carrier. For example, it allows more efficient use of the unlicensed spectrum due to ability to synchronize and coordinate with other nodes. Transmitting control signals on the anchor carrier </w:t>
      </w:r>
      <w:r w:rsidR="00B10A9E" w:rsidRPr="00877E49">
        <w:rPr>
          <w:b w:val="0"/>
          <w:sz w:val="20"/>
        </w:rPr>
        <w:t xml:space="preserve">can </w:t>
      </w:r>
      <w:r w:rsidR="001C5F07" w:rsidRPr="00877E49">
        <w:rPr>
          <w:b w:val="0"/>
          <w:sz w:val="20"/>
        </w:rPr>
        <w:t xml:space="preserve">also </w:t>
      </w:r>
      <w:r w:rsidR="00B10A9E" w:rsidRPr="00877E49">
        <w:rPr>
          <w:b w:val="0"/>
          <w:sz w:val="20"/>
        </w:rPr>
        <w:t xml:space="preserve">help </w:t>
      </w:r>
      <w:r w:rsidRPr="00877E49">
        <w:rPr>
          <w:b w:val="0"/>
          <w:sz w:val="20"/>
        </w:rPr>
        <w:t>simplif</w:t>
      </w:r>
      <w:r w:rsidR="00B10A9E" w:rsidRPr="00877E49">
        <w:rPr>
          <w:b w:val="0"/>
          <w:sz w:val="20"/>
        </w:rPr>
        <w:t>y</w:t>
      </w:r>
      <w:r w:rsidRPr="00877E49">
        <w:rPr>
          <w:b w:val="0"/>
          <w:sz w:val="20"/>
        </w:rPr>
        <w:t xml:space="preserve"> the design. </w:t>
      </w:r>
    </w:p>
    <w:p w14:paraId="78B8E4B6" w14:textId="35501731" w:rsidR="00D10FC7" w:rsidRPr="00877E49" w:rsidRDefault="008A414C" w:rsidP="00D760F4">
      <w:pPr>
        <w:pStyle w:val="LGTdoc1"/>
        <w:spacing w:beforeLines="0" w:before="120" w:after="220" w:afterAutospacing="0"/>
        <w:rPr>
          <w:b w:val="0"/>
          <w:sz w:val="20"/>
        </w:rPr>
      </w:pPr>
      <w:r w:rsidRPr="00877E49">
        <w:rPr>
          <w:b w:val="0"/>
          <w:sz w:val="20"/>
        </w:rPr>
        <w:t xml:space="preserve">LTE already supports this scenario.  Those design principles can also be reused for NR unlicensed which should reduce the overall system development effort. </w:t>
      </w:r>
      <w:r w:rsidR="00D10FC7" w:rsidRPr="00877E49">
        <w:rPr>
          <w:b w:val="0"/>
          <w:sz w:val="20"/>
        </w:rPr>
        <w:t>NR DL+UL CA support for example would require supporting the LBT procedures, defining sync channels with variable window position, use of partial starting and ending slots, interlaced transmissions in UL etc</w:t>
      </w:r>
      <w:r w:rsidR="00F00F52" w:rsidRPr="00877E49">
        <w:rPr>
          <w:b w:val="0"/>
          <w:sz w:val="20"/>
        </w:rPr>
        <w:t xml:space="preserve"> that were done for LAA</w:t>
      </w:r>
      <w:r w:rsidR="001C5F07" w:rsidRPr="00877E49">
        <w:rPr>
          <w:b w:val="0"/>
          <w:sz w:val="20"/>
        </w:rPr>
        <w:t>/eLAA</w:t>
      </w:r>
      <w:r w:rsidR="00F00F52" w:rsidRPr="00877E49">
        <w:rPr>
          <w:b w:val="0"/>
          <w:sz w:val="20"/>
        </w:rPr>
        <w:t xml:space="preserve"> support in LTE</w:t>
      </w:r>
      <w:r w:rsidR="00D10FC7" w:rsidRPr="00877E49">
        <w:rPr>
          <w:b w:val="0"/>
          <w:sz w:val="20"/>
        </w:rPr>
        <w:t xml:space="preserve">.  </w:t>
      </w:r>
    </w:p>
    <w:p w14:paraId="69A22E40" w14:textId="361DF3BF" w:rsidR="00B10A9E" w:rsidRPr="00877E49" w:rsidRDefault="008A414C" w:rsidP="00D760F4">
      <w:pPr>
        <w:pStyle w:val="LGTdoc1"/>
        <w:spacing w:beforeLines="0" w:before="120" w:after="220" w:afterAutospacing="0"/>
        <w:rPr>
          <w:b w:val="0"/>
          <w:sz w:val="20"/>
        </w:rPr>
      </w:pPr>
      <w:r w:rsidRPr="00877E49">
        <w:rPr>
          <w:b w:val="0"/>
          <w:sz w:val="20"/>
        </w:rPr>
        <w:t xml:space="preserve">We do see value in supporting both DL CA only (such as in </w:t>
      </w:r>
      <w:r w:rsidR="00D10FC7" w:rsidRPr="00877E49">
        <w:rPr>
          <w:b w:val="0"/>
          <w:sz w:val="20"/>
        </w:rPr>
        <w:t xml:space="preserve">LTE </w:t>
      </w:r>
      <w:r w:rsidRPr="00877E49">
        <w:rPr>
          <w:b w:val="0"/>
          <w:sz w:val="20"/>
        </w:rPr>
        <w:t xml:space="preserve">LAA) and DL+UL CA (such as in </w:t>
      </w:r>
      <w:r w:rsidR="00D10FC7" w:rsidRPr="00877E49">
        <w:rPr>
          <w:b w:val="0"/>
          <w:sz w:val="20"/>
        </w:rPr>
        <w:t xml:space="preserve">LTE </w:t>
      </w:r>
      <w:r w:rsidRPr="00877E49">
        <w:rPr>
          <w:b w:val="0"/>
          <w:sz w:val="20"/>
        </w:rPr>
        <w:t>eLAA).</w:t>
      </w:r>
      <w:r w:rsidR="00D10FC7" w:rsidRPr="00877E49">
        <w:rPr>
          <w:b w:val="0"/>
          <w:sz w:val="20"/>
        </w:rPr>
        <w:t xml:space="preserve"> </w:t>
      </w:r>
    </w:p>
    <w:p w14:paraId="33E5EA0B" w14:textId="77777777" w:rsidR="001C5F07" w:rsidRPr="00877E49" w:rsidRDefault="008A414C" w:rsidP="001C5F07">
      <w:pPr>
        <w:pStyle w:val="LGTdoc1"/>
        <w:spacing w:beforeLines="0" w:before="120" w:after="220" w:afterAutospacing="0"/>
        <w:contextualSpacing/>
        <w:rPr>
          <w:b w:val="0"/>
          <w:sz w:val="20"/>
        </w:rPr>
      </w:pPr>
      <w:r w:rsidRPr="00877E49">
        <w:rPr>
          <w:b w:val="0"/>
          <w:sz w:val="20"/>
        </w:rPr>
        <w:t xml:space="preserve">Some spectrum combinations that can be targeted for this scenario include </w:t>
      </w:r>
    </w:p>
    <w:p w14:paraId="6C2A8648" w14:textId="77777777" w:rsidR="001C5F07" w:rsidRPr="00877E49" w:rsidRDefault="008A414C" w:rsidP="001C5F07">
      <w:pPr>
        <w:pStyle w:val="LGTdoc1"/>
        <w:spacing w:beforeLines="0" w:before="120" w:after="220" w:afterAutospacing="0"/>
        <w:contextualSpacing/>
        <w:rPr>
          <w:b w:val="0"/>
          <w:sz w:val="20"/>
        </w:rPr>
      </w:pPr>
      <w:r w:rsidRPr="00877E49">
        <w:rPr>
          <w:b w:val="0"/>
          <w:sz w:val="20"/>
        </w:rPr>
        <w:t xml:space="preserve">a) licensed on sub 6 GHz and unlicensed on 5GHz/6GHz </w:t>
      </w:r>
    </w:p>
    <w:p w14:paraId="3ECA8884" w14:textId="7685AAA1" w:rsidR="00815A50" w:rsidRPr="00877E49" w:rsidRDefault="008A414C" w:rsidP="001C5F07">
      <w:pPr>
        <w:pStyle w:val="LGTdoc1"/>
        <w:spacing w:beforeLines="0" w:before="120" w:after="220" w:afterAutospacing="0"/>
        <w:contextualSpacing/>
        <w:rPr>
          <w:b w:val="0"/>
          <w:sz w:val="20"/>
        </w:rPr>
      </w:pPr>
      <w:r w:rsidRPr="00877E49">
        <w:rPr>
          <w:b w:val="0"/>
          <w:sz w:val="20"/>
        </w:rPr>
        <w:lastRenderedPageBreak/>
        <w:t>b) licensed on sub 6 GHz and unlicensed in 37GHz/60GHz.</w:t>
      </w:r>
    </w:p>
    <w:p w14:paraId="00EFDE33" w14:textId="77777777" w:rsidR="001C5F07" w:rsidRPr="00877E49" w:rsidRDefault="001C5F07" w:rsidP="001C5F07">
      <w:pPr>
        <w:pStyle w:val="LGTdoc1"/>
        <w:spacing w:beforeLines="0" w:before="120" w:after="220" w:afterAutospacing="0"/>
        <w:contextualSpacing/>
        <w:rPr>
          <w:b w:val="0"/>
          <w:sz w:val="20"/>
        </w:rPr>
      </w:pPr>
    </w:p>
    <w:p w14:paraId="4F28E4A9" w14:textId="7678D212" w:rsidR="00FD16D1" w:rsidRPr="00877E49" w:rsidRDefault="00FD16D1" w:rsidP="00D760F4">
      <w:pPr>
        <w:pStyle w:val="LGTdoc1"/>
        <w:spacing w:beforeLines="0" w:before="120" w:after="220" w:afterAutospacing="0"/>
        <w:rPr>
          <w:sz w:val="20"/>
        </w:rPr>
      </w:pPr>
      <w:r w:rsidRPr="00877E49">
        <w:rPr>
          <w:sz w:val="20"/>
          <w:u w:val="single"/>
        </w:rPr>
        <w:t>Proposal 1:</w:t>
      </w:r>
      <w:r w:rsidRPr="00877E49">
        <w:rPr>
          <w:sz w:val="20"/>
        </w:rPr>
        <w:t xml:space="preserve"> NR unlicensed should support carrier aggregation of </w:t>
      </w:r>
      <w:r w:rsidR="00291A95" w:rsidRPr="00877E49">
        <w:rPr>
          <w:sz w:val="20"/>
        </w:rPr>
        <w:t xml:space="preserve">NR cell on </w:t>
      </w:r>
      <w:r w:rsidRPr="00877E49">
        <w:rPr>
          <w:sz w:val="20"/>
        </w:rPr>
        <w:t xml:space="preserve">licensed </w:t>
      </w:r>
      <w:r w:rsidR="00291A95" w:rsidRPr="00877E49">
        <w:rPr>
          <w:sz w:val="20"/>
        </w:rPr>
        <w:t xml:space="preserve">spectrum </w:t>
      </w:r>
      <w:r w:rsidRPr="00877E49">
        <w:rPr>
          <w:sz w:val="20"/>
        </w:rPr>
        <w:t xml:space="preserve">and </w:t>
      </w:r>
      <w:r w:rsidR="00291A95" w:rsidRPr="00877E49">
        <w:rPr>
          <w:sz w:val="20"/>
        </w:rPr>
        <w:t xml:space="preserve">NR cell on </w:t>
      </w:r>
      <w:r w:rsidRPr="00877E49">
        <w:rPr>
          <w:sz w:val="20"/>
        </w:rPr>
        <w:t xml:space="preserve">unlicensed </w:t>
      </w:r>
      <w:r w:rsidR="00291A95" w:rsidRPr="00877E49">
        <w:rPr>
          <w:sz w:val="20"/>
        </w:rPr>
        <w:t xml:space="preserve">spectrum. </w:t>
      </w:r>
      <w:r w:rsidRPr="00877E49">
        <w:rPr>
          <w:sz w:val="20"/>
        </w:rPr>
        <w:t xml:space="preserve"> </w:t>
      </w:r>
      <w:r w:rsidR="00291A95" w:rsidRPr="00877E49">
        <w:rPr>
          <w:sz w:val="20"/>
        </w:rPr>
        <w:t>B</w:t>
      </w:r>
      <w:r w:rsidRPr="00877E49">
        <w:rPr>
          <w:sz w:val="20"/>
        </w:rPr>
        <w:t>oth DL only and DL+UL CA should be supported in NR unlicensed</w:t>
      </w:r>
    </w:p>
    <w:p w14:paraId="0921C76B" w14:textId="7E87CA43" w:rsidR="00815A50" w:rsidRDefault="00815A50" w:rsidP="00AE7F84">
      <w:pPr>
        <w:pStyle w:val="Heading1"/>
      </w:pPr>
      <w:r>
        <w:t>Dual Connectivity</w:t>
      </w:r>
    </w:p>
    <w:p w14:paraId="0EE24EBC" w14:textId="4A0D0F3F" w:rsidR="00B35BD2" w:rsidRPr="00877E49" w:rsidRDefault="00B35BD2" w:rsidP="00D760F4">
      <w:pPr>
        <w:pStyle w:val="LGTdoc1"/>
        <w:spacing w:beforeLines="0" w:before="120" w:after="220" w:afterAutospacing="0"/>
        <w:rPr>
          <w:b w:val="0"/>
          <w:sz w:val="20"/>
        </w:rPr>
      </w:pPr>
      <w:r w:rsidRPr="00877E49">
        <w:rPr>
          <w:b w:val="0"/>
          <w:sz w:val="20"/>
        </w:rPr>
        <w:t xml:space="preserve">Dual connectivity </w:t>
      </w:r>
      <w:r w:rsidR="00FD16D1" w:rsidRPr="00877E49">
        <w:rPr>
          <w:b w:val="0"/>
          <w:sz w:val="20"/>
        </w:rPr>
        <w:t xml:space="preserve">scenario </w:t>
      </w:r>
      <w:r w:rsidRPr="00877E49">
        <w:rPr>
          <w:b w:val="0"/>
          <w:sz w:val="20"/>
        </w:rPr>
        <w:t xml:space="preserve">is similar to the carrier aggregation scenario but it relaxes the synchronization and tight-coordination requirements of CA making non-co-located deployments much more feasible compared to the carrier aggregation scenario. To support dual connectivity efficiently UL control for example may need to be supported on </w:t>
      </w:r>
      <w:r w:rsidR="00FD16D1" w:rsidRPr="00877E49">
        <w:rPr>
          <w:b w:val="0"/>
          <w:sz w:val="20"/>
        </w:rPr>
        <w:t>the unlicensed</w:t>
      </w:r>
      <w:r w:rsidRPr="00877E49">
        <w:rPr>
          <w:b w:val="0"/>
          <w:sz w:val="20"/>
        </w:rPr>
        <w:t xml:space="preserve"> carrier which </w:t>
      </w:r>
      <w:r w:rsidR="00FD16D1" w:rsidRPr="00877E49">
        <w:rPr>
          <w:b w:val="0"/>
          <w:sz w:val="20"/>
        </w:rPr>
        <w:t>may not be</w:t>
      </w:r>
      <w:r w:rsidRPr="00877E49">
        <w:rPr>
          <w:b w:val="0"/>
          <w:sz w:val="20"/>
        </w:rPr>
        <w:t xml:space="preserve"> ne</w:t>
      </w:r>
      <w:r w:rsidR="00FD16D1" w:rsidRPr="00877E49">
        <w:rPr>
          <w:b w:val="0"/>
          <w:sz w:val="20"/>
        </w:rPr>
        <w:t>e</w:t>
      </w:r>
      <w:r w:rsidRPr="00877E49">
        <w:rPr>
          <w:b w:val="0"/>
          <w:sz w:val="20"/>
        </w:rPr>
        <w:t>ded for carrier aggregation.</w:t>
      </w:r>
      <w:r w:rsidR="00443F70" w:rsidRPr="00877E49">
        <w:rPr>
          <w:b w:val="0"/>
          <w:sz w:val="20"/>
        </w:rPr>
        <w:t xml:space="preserve"> Other changes may include support for RACH / procedures to align timing on the unlicensed band and HARQ timeline related changes.</w:t>
      </w:r>
    </w:p>
    <w:p w14:paraId="777E6A83" w14:textId="52E98FC8" w:rsidR="00FD16D1" w:rsidRPr="00877E49" w:rsidRDefault="00FD16D1" w:rsidP="00D760F4">
      <w:pPr>
        <w:pStyle w:val="LGTdoc1"/>
        <w:spacing w:beforeLines="0" w:before="120" w:after="220" w:afterAutospacing="0"/>
        <w:rPr>
          <w:b w:val="0"/>
          <w:sz w:val="20"/>
        </w:rPr>
      </w:pPr>
      <w:r w:rsidRPr="00877E49">
        <w:rPr>
          <w:b w:val="0"/>
          <w:sz w:val="20"/>
        </w:rPr>
        <w:t xml:space="preserve">As this scenario enables non-co-located deployments, we </w:t>
      </w:r>
      <w:r w:rsidR="00B35BD2" w:rsidRPr="00877E49">
        <w:rPr>
          <w:b w:val="0"/>
          <w:sz w:val="20"/>
        </w:rPr>
        <w:t xml:space="preserve">feel this is also an important scenario for NR unlicensed to support. </w:t>
      </w:r>
      <w:r w:rsidRPr="00877E49">
        <w:rPr>
          <w:b w:val="0"/>
          <w:sz w:val="20"/>
        </w:rPr>
        <w:t xml:space="preserve">The dual connectivity can be between NR cells or between an LTE cell and an NR cell. The latter case is also important to support as this will facilitate faster NR-unlicensed deployment by </w:t>
      </w:r>
      <w:r w:rsidR="00291A95" w:rsidRPr="00877E49">
        <w:rPr>
          <w:b w:val="0"/>
          <w:sz w:val="20"/>
        </w:rPr>
        <w:t xml:space="preserve">allowing </w:t>
      </w:r>
      <w:r w:rsidRPr="00877E49">
        <w:rPr>
          <w:b w:val="0"/>
          <w:sz w:val="20"/>
        </w:rPr>
        <w:t>operat</w:t>
      </w:r>
      <w:r w:rsidR="00291A95" w:rsidRPr="00877E49">
        <w:rPr>
          <w:b w:val="0"/>
          <w:sz w:val="20"/>
        </w:rPr>
        <w:t>ion</w:t>
      </w:r>
      <w:r w:rsidRPr="00877E49">
        <w:rPr>
          <w:b w:val="0"/>
          <w:sz w:val="20"/>
        </w:rPr>
        <w:t xml:space="preserve"> in regions where the</w:t>
      </w:r>
      <w:r w:rsidR="00291A95" w:rsidRPr="00877E49">
        <w:rPr>
          <w:b w:val="0"/>
          <w:sz w:val="20"/>
        </w:rPr>
        <w:t>re</w:t>
      </w:r>
      <w:r w:rsidRPr="00877E49">
        <w:rPr>
          <w:b w:val="0"/>
          <w:sz w:val="20"/>
        </w:rPr>
        <w:t xml:space="preserve"> </w:t>
      </w:r>
      <w:r w:rsidR="00291A95" w:rsidRPr="00877E49">
        <w:rPr>
          <w:b w:val="0"/>
          <w:sz w:val="20"/>
        </w:rPr>
        <w:t>is only</w:t>
      </w:r>
      <w:r w:rsidRPr="00877E49">
        <w:rPr>
          <w:b w:val="0"/>
          <w:sz w:val="20"/>
        </w:rPr>
        <w:t xml:space="preserve"> LTE coverage. </w:t>
      </w:r>
    </w:p>
    <w:p w14:paraId="684D85B8" w14:textId="77777777" w:rsidR="001C5F07" w:rsidRPr="00877E49" w:rsidRDefault="001C5F07" w:rsidP="001C5F07">
      <w:pPr>
        <w:pStyle w:val="LGTdoc1"/>
        <w:spacing w:beforeLines="0" w:before="120" w:after="220" w:afterAutospacing="0"/>
        <w:contextualSpacing/>
        <w:rPr>
          <w:b w:val="0"/>
          <w:sz w:val="20"/>
        </w:rPr>
      </w:pPr>
      <w:r w:rsidRPr="00877E49">
        <w:rPr>
          <w:b w:val="0"/>
          <w:sz w:val="20"/>
        </w:rPr>
        <w:t xml:space="preserve">Some spectrum combinations that can be targeted for this scenario include </w:t>
      </w:r>
    </w:p>
    <w:p w14:paraId="010FE027" w14:textId="77777777" w:rsidR="001C5F07" w:rsidRPr="00877E49" w:rsidRDefault="001C5F07" w:rsidP="001C5F07">
      <w:pPr>
        <w:pStyle w:val="LGTdoc1"/>
        <w:spacing w:beforeLines="0" w:before="120" w:after="220" w:afterAutospacing="0"/>
        <w:contextualSpacing/>
        <w:rPr>
          <w:b w:val="0"/>
          <w:sz w:val="20"/>
        </w:rPr>
      </w:pPr>
      <w:r w:rsidRPr="00877E49">
        <w:rPr>
          <w:b w:val="0"/>
          <w:sz w:val="20"/>
        </w:rPr>
        <w:t xml:space="preserve">a) licensed on sub 6 GHz and unlicensed on 5GHz/6GHz </w:t>
      </w:r>
    </w:p>
    <w:p w14:paraId="76C36B29" w14:textId="611ED4FC" w:rsidR="001C5F07" w:rsidRPr="00877E49" w:rsidRDefault="001C5F07" w:rsidP="001C5F07">
      <w:pPr>
        <w:pStyle w:val="LGTdoc1"/>
        <w:spacing w:beforeLines="0" w:before="120" w:after="220" w:afterAutospacing="0"/>
        <w:rPr>
          <w:b w:val="0"/>
          <w:sz w:val="20"/>
        </w:rPr>
      </w:pPr>
      <w:r w:rsidRPr="00877E49">
        <w:rPr>
          <w:b w:val="0"/>
          <w:sz w:val="20"/>
        </w:rPr>
        <w:t>b) licensed on sub 6 GHz and unlicensed in 37GHz/60GHz.</w:t>
      </w:r>
    </w:p>
    <w:p w14:paraId="17EF2471" w14:textId="5B8ACC10" w:rsidR="00FD16D1" w:rsidRPr="00D760F4" w:rsidRDefault="00FD16D1" w:rsidP="001C5F07">
      <w:pPr>
        <w:pStyle w:val="LGTdoc1"/>
        <w:spacing w:beforeLines="0" w:before="120" w:after="220" w:afterAutospacing="0"/>
        <w:rPr>
          <w:sz w:val="22"/>
          <w:szCs w:val="22"/>
        </w:rPr>
      </w:pPr>
      <w:r w:rsidRPr="00877E49">
        <w:rPr>
          <w:sz w:val="20"/>
          <w:u w:val="single"/>
        </w:rPr>
        <w:t>Proposal 2:</w:t>
      </w:r>
      <w:r w:rsidRPr="00877E49">
        <w:rPr>
          <w:sz w:val="20"/>
        </w:rPr>
        <w:t xml:space="preserve"> </w:t>
      </w:r>
      <w:r w:rsidR="00291A95" w:rsidRPr="00877E49">
        <w:rPr>
          <w:sz w:val="20"/>
        </w:rPr>
        <w:t>NR unlicensed should support d</w:t>
      </w:r>
      <w:r w:rsidRPr="00877E49">
        <w:rPr>
          <w:sz w:val="20"/>
        </w:rPr>
        <w:t xml:space="preserve">ual Connectivity between an </w:t>
      </w:r>
      <w:r w:rsidR="00291A95" w:rsidRPr="00877E49">
        <w:rPr>
          <w:sz w:val="20"/>
        </w:rPr>
        <w:t>LTE or NR cell on licensed spectrum and</w:t>
      </w:r>
      <w:r w:rsidRPr="00877E49">
        <w:rPr>
          <w:sz w:val="20"/>
        </w:rPr>
        <w:t xml:space="preserve"> </w:t>
      </w:r>
      <w:r w:rsidR="00291A95" w:rsidRPr="00877E49">
        <w:rPr>
          <w:sz w:val="20"/>
        </w:rPr>
        <w:t>NR cell on unlicensed spectrum</w:t>
      </w:r>
    </w:p>
    <w:p w14:paraId="338C879E" w14:textId="45193CCB" w:rsidR="00B559A2" w:rsidRDefault="00815A50" w:rsidP="00AE7F84">
      <w:pPr>
        <w:pStyle w:val="Heading1"/>
      </w:pPr>
      <w:r>
        <w:t>Standalone</w:t>
      </w:r>
      <w:r w:rsidR="005E1608">
        <w:t xml:space="preserve"> Operation</w:t>
      </w:r>
    </w:p>
    <w:p w14:paraId="6BE1D1E0" w14:textId="3BD6896C" w:rsidR="00187DBF" w:rsidRPr="00877E49" w:rsidRDefault="00291A95" w:rsidP="00D760F4">
      <w:pPr>
        <w:pStyle w:val="LGTdoc1"/>
        <w:spacing w:beforeLines="0" w:before="120" w:after="220" w:afterAutospacing="0"/>
        <w:rPr>
          <w:b w:val="0"/>
          <w:sz w:val="20"/>
        </w:rPr>
      </w:pPr>
      <w:r w:rsidRPr="00877E49">
        <w:rPr>
          <w:b w:val="0"/>
          <w:sz w:val="20"/>
        </w:rPr>
        <w:t xml:space="preserve">Standalone operation involves enabling NR unlicensed operation without any anchor carrier in licensed band. We believe this is a key scenario for NR unlicensed. </w:t>
      </w:r>
      <w:r w:rsidR="00187DBF" w:rsidRPr="00877E49">
        <w:rPr>
          <w:b w:val="0"/>
          <w:sz w:val="20"/>
        </w:rPr>
        <w:t>A</w:t>
      </w:r>
      <w:r w:rsidRPr="00877E49">
        <w:rPr>
          <w:b w:val="0"/>
          <w:sz w:val="20"/>
        </w:rPr>
        <w:t xml:space="preserve"> standalone NR-U option allows deployment of NR services</w:t>
      </w:r>
      <w:r w:rsidR="00187DBF" w:rsidRPr="00877E49">
        <w:rPr>
          <w:b w:val="0"/>
          <w:sz w:val="20"/>
        </w:rPr>
        <w:t xml:space="preserve"> without requiring the NR</w:t>
      </w:r>
      <w:r w:rsidR="001C5F07" w:rsidRPr="00877E49">
        <w:rPr>
          <w:b w:val="0"/>
          <w:sz w:val="20"/>
        </w:rPr>
        <w:t>/LTE</w:t>
      </w:r>
      <w:r w:rsidR="00187DBF" w:rsidRPr="00877E49">
        <w:rPr>
          <w:b w:val="0"/>
          <w:sz w:val="20"/>
        </w:rPr>
        <w:t xml:space="preserve"> services on licensed carrier to be set up. It can also be used to provide NR services in </w:t>
      </w:r>
      <w:r w:rsidR="000A118A" w:rsidRPr="00877E49">
        <w:rPr>
          <w:b w:val="0"/>
          <w:sz w:val="20"/>
        </w:rPr>
        <w:t xml:space="preserve">regions with NR </w:t>
      </w:r>
      <w:r w:rsidR="00187DBF" w:rsidRPr="00877E49">
        <w:rPr>
          <w:b w:val="0"/>
          <w:sz w:val="20"/>
        </w:rPr>
        <w:t xml:space="preserve">coverage holes / where NR licensed spectrum is unavailable. The ease of deployment for standalone mode also enables faster deployment.  </w:t>
      </w:r>
    </w:p>
    <w:p w14:paraId="6F3CC30C" w14:textId="6493450C" w:rsidR="000A118A" w:rsidRPr="00877E49" w:rsidRDefault="000A118A" w:rsidP="00D760F4">
      <w:pPr>
        <w:pStyle w:val="LGTdoc1"/>
        <w:spacing w:beforeLines="0" w:before="120" w:after="220" w:afterAutospacing="0"/>
        <w:rPr>
          <w:b w:val="0"/>
          <w:sz w:val="20"/>
        </w:rPr>
      </w:pPr>
      <w:r w:rsidRPr="00877E49">
        <w:rPr>
          <w:b w:val="0"/>
          <w:sz w:val="20"/>
        </w:rPr>
        <w:t xml:space="preserve">Compared to dual connectivity operation, </w:t>
      </w:r>
      <w:r w:rsidR="00443F70" w:rsidRPr="00877E49">
        <w:rPr>
          <w:b w:val="0"/>
          <w:sz w:val="20"/>
        </w:rPr>
        <w:t>standalone</w:t>
      </w:r>
      <w:r w:rsidRPr="00877E49">
        <w:rPr>
          <w:b w:val="0"/>
          <w:sz w:val="20"/>
        </w:rPr>
        <w:t xml:space="preserve"> operation require</w:t>
      </w:r>
      <w:r w:rsidR="00443F70" w:rsidRPr="00877E49">
        <w:rPr>
          <w:b w:val="0"/>
          <w:sz w:val="20"/>
        </w:rPr>
        <w:t>s support of SIB, paging, and mobility managements procedures on the unlicensed band. The designs are expected to be just minor enhancements of NR design to address the uncertainty of resource availability.</w:t>
      </w:r>
    </w:p>
    <w:p w14:paraId="7EA89FB2" w14:textId="4B17E1F0" w:rsidR="00291A95" w:rsidRPr="00877E49" w:rsidRDefault="000A118A" w:rsidP="00D760F4">
      <w:pPr>
        <w:pStyle w:val="LGTdoc1"/>
        <w:spacing w:beforeLines="0" w:before="120" w:after="220" w:afterAutospacing="0"/>
        <w:rPr>
          <w:b w:val="0"/>
          <w:sz w:val="20"/>
        </w:rPr>
      </w:pPr>
      <w:r w:rsidRPr="00877E49">
        <w:rPr>
          <w:b w:val="0"/>
          <w:sz w:val="20"/>
        </w:rPr>
        <w:t xml:space="preserve">There are </w:t>
      </w:r>
      <w:r w:rsidR="00291A95" w:rsidRPr="00877E49">
        <w:rPr>
          <w:b w:val="0"/>
          <w:sz w:val="20"/>
        </w:rPr>
        <w:t>a large class of private network use cases</w:t>
      </w:r>
      <w:r w:rsidRPr="00877E49">
        <w:rPr>
          <w:b w:val="0"/>
          <w:sz w:val="20"/>
        </w:rPr>
        <w:t xml:space="preserve"> that can be addressed by standalone operation</w:t>
      </w:r>
      <w:r w:rsidR="00291A95" w:rsidRPr="00877E49">
        <w:rPr>
          <w:b w:val="0"/>
          <w:sz w:val="20"/>
        </w:rPr>
        <w:t xml:space="preserve">. Given that there are other competing stand-alone technologies as well that target similar use cases we are of the view that standalone deployment of NR-U should be supported from the first release of NR-U. </w:t>
      </w:r>
    </w:p>
    <w:p w14:paraId="158B9918" w14:textId="3C04178F" w:rsidR="00FD335A" w:rsidRPr="00877E49" w:rsidRDefault="00291A95" w:rsidP="00D760F4">
      <w:pPr>
        <w:pStyle w:val="LGTdoc1"/>
        <w:spacing w:beforeLines="0" w:before="120" w:after="220" w:afterAutospacing="0"/>
        <w:rPr>
          <w:sz w:val="20"/>
        </w:rPr>
      </w:pPr>
      <w:r w:rsidRPr="00877E49">
        <w:rPr>
          <w:b w:val="0"/>
          <w:sz w:val="20"/>
        </w:rPr>
        <w:t xml:space="preserve">For spectrum, the standalone deployments could target 5GHz, 6GHz, 37GHz, and 60GHz bands. </w:t>
      </w:r>
    </w:p>
    <w:p w14:paraId="1540F915" w14:textId="4BB99FAD" w:rsidR="00291A95" w:rsidRPr="00877E49" w:rsidRDefault="00291A95" w:rsidP="00D760F4">
      <w:pPr>
        <w:pStyle w:val="LGTdoc1"/>
        <w:spacing w:beforeLines="0" w:before="120" w:after="220" w:afterAutospacing="0"/>
        <w:rPr>
          <w:sz w:val="20"/>
        </w:rPr>
      </w:pPr>
      <w:r w:rsidRPr="00877E49">
        <w:rPr>
          <w:sz w:val="20"/>
          <w:u w:val="single"/>
        </w:rPr>
        <w:t>Proposal 3:</w:t>
      </w:r>
      <w:r w:rsidRPr="00877E49">
        <w:rPr>
          <w:sz w:val="20"/>
        </w:rPr>
        <w:t xml:space="preserve"> NR unlicensed should support standalone operation on unlicensed spectrum</w:t>
      </w:r>
      <w:r w:rsidR="00E12F0C" w:rsidRPr="00877E49">
        <w:rPr>
          <w:sz w:val="20"/>
        </w:rPr>
        <w:t xml:space="preserve"> including 5GHz, 6GHz, 37GHz, and 60GHz bands</w:t>
      </w:r>
    </w:p>
    <w:bookmarkStart w:id="2" w:name="_GoBack"/>
    <w:bookmarkEnd w:id="0"/>
    <w:bookmarkEnd w:id="1"/>
    <w:p w14:paraId="73A74543" w14:textId="77777777" w:rsidR="00F00F52" w:rsidRDefault="00187DBF" w:rsidP="00F00F52">
      <w:pPr>
        <w:pStyle w:val="LGTdoc1"/>
        <w:keepNext/>
        <w:spacing w:beforeLines="0" w:before="120" w:after="220" w:afterAutospacing="0"/>
      </w:pPr>
      <w:r>
        <w:rPr>
          <w:rFonts w:ascii="Arial" w:hAnsi="Arial" w:cs="Arial"/>
          <w:lang w:val="en-US"/>
        </w:rPr>
        <w:object w:dxaOrig="13835" w:dyaOrig="4147" w14:anchorId="549B3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126.5pt" o:ole="">
            <v:imagedata r:id="rId13" o:title=""/>
          </v:shape>
          <o:OLEObject Type="Embed" ProgID="Visio.Drawing.11" ShapeID="_x0000_i1025" DrawAspect="Content" ObjectID="_1580287245" r:id="rId14"/>
        </w:object>
      </w:r>
      <w:bookmarkEnd w:id="2"/>
    </w:p>
    <w:p w14:paraId="36AAADC2" w14:textId="4CBD053D" w:rsidR="00187DBF" w:rsidRDefault="00F00F52" w:rsidP="009A0E9A">
      <w:pPr>
        <w:pStyle w:val="Caption"/>
        <w:jc w:val="center"/>
      </w:pPr>
      <w:r>
        <w:t xml:space="preserve">Figure </w:t>
      </w:r>
      <w:r>
        <w:fldChar w:fldCharType="begin"/>
      </w:r>
      <w:r>
        <w:instrText xml:space="preserve"> SEQ Figure \* ARABIC </w:instrText>
      </w:r>
      <w:r>
        <w:fldChar w:fldCharType="separate"/>
      </w:r>
      <w:r w:rsidR="00C74E08">
        <w:rPr>
          <w:noProof/>
        </w:rPr>
        <w:t>1</w:t>
      </w:r>
      <w:r>
        <w:fldChar w:fldCharType="end"/>
      </w:r>
      <w:r>
        <w:t>: Deployment modes for NR unlicensed</w:t>
      </w:r>
    </w:p>
    <w:p w14:paraId="2964C630" w14:textId="77777777" w:rsidR="00780FEA" w:rsidRDefault="00780FEA" w:rsidP="00780FEA">
      <w:pPr>
        <w:pStyle w:val="Heading1"/>
      </w:pPr>
      <w:r>
        <w:lastRenderedPageBreak/>
        <w:t>Low-band Anchored mmW Standalone Operation</w:t>
      </w:r>
    </w:p>
    <w:p w14:paraId="1A13DCA8" w14:textId="77777777" w:rsidR="00780FEA" w:rsidRDefault="00780FEA" w:rsidP="00780FEA">
      <w:pPr>
        <w:pStyle w:val="LGTdoc1"/>
        <w:spacing w:beforeLines="0" w:before="120" w:after="220" w:afterAutospacing="0"/>
        <w:rPr>
          <w:b w:val="0"/>
          <w:sz w:val="22"/>
          <w:szCs w:val="22"/>
        </w:rPr>
      </w:pPr>
      <w:r>
        <w:rPr>
          <w:b w:val="0"/>
          <w:sz w:val="22"/>
          <w:szCs w:val="22"/>
        </w:rPr>
        <w:t xml:space="preserve">While it is understood that supporting the standalone operation in NR-U also includes supporting carrier aggregation/dual connectivity between two or more unlicensed cells such as an unlicensed cell in sub-6GHz and an unlicensed cell in 60GHz; further enhancements may need to be studied over traditional CA/DC approaches in an unlicensed standalone system. </w:t>
      </w:r>
    </w:p>
    <w:p w14:paraId="0704DBDF" w14:textId="77777777" w:rsidR="00780FEA" w:rsidRDefault="00780FEA" w:rsidP="00780FEA">
      <w:pPr>
        <w:pStyle w:val="LGTdoc1"/>
        <w:spacing w:beforeLines="0" w:before="120" w:after="220" w:afterAutospacing="0"/>
        <w:rPr>
          <w:b w:val="0"/>
          <w:sz w:val="22"/>
          <w:szCs w:val="22"/>
        </w:rPr>
      </w:pPr>
      <w:r>
        <w:rPr>
          <w:b w:val="0"/>
          <w:sz w:val="22"/>
          <w:szCs w:val="22"/>
        </w:rPr>
        <w:t>A licensed anchor carrier affords the advantages of predictable timing and consequently control signalling. This predictability is not a given in unlicensed channels owing to the time required to perform LBT – for example on a channel shared with WLAN in 5GHz, channel access latency by an NR-U node may be unbounded due to multiple other nodes winning contention ahead of the NR-U node. While channel access delay may be less of a problem on mmW bands, owing to the additional dimension of spatial separation, the higher power consumption on mmW devices results in other challenges – especially on handset form-factor devices. Traditional DC approaches may further be challenged by the dynamic availability of the mmW uplink determined by the UE, based on constraints due to link-budget, power dissipation and MPE.</w:t>
      </w:r>
    </w:p>
    <w:p w14:paraId="6073AE63" w14:textId="6D51A2EF" w:rsidR="00780FEA" w:rsidRDefault="00780FEA" w:rsidP="00780FEA">
      <w:pPr>
        <w:pStyle w:val="LGTdoc1"/>
        <w:spacing w:beforeLines="0" w:before="120" w:after="220" w:afterAutospacing="0"/>
        <w:rPr>
          <w:b w:val="0"/>
          <w:sz w:val="22"/>
          <w:szCs w:val="22"/>
        </w:rPr>
      </w:pPr>
      <w:r>
        <w:rPr>
          <w:b w:val="0"/>
          <w:sz w:val="22"/>
          <w:szCs w:val="22"/>
        </w:rPr>
        <w:t xml:space="preserve">From a deployment perspective, the disparate coverage offered by sub-6GHz and 60GHz cells may lead to scenarios with non-co-located multi-cell operation. Techniques to deal with imperfect synchronization due to </w:t>
      </w:r>
      <w:r w:rsidR="00A9102B">
        <w:rPr>
          <w:b w:val="0"/>
          <w:sz w:val="22"/>
          <w:szCs w:val="22"/>
        </w:rPr>
        <w:t xml:space="preserve">(1) </w:t>
      </w:r>
      <w:r>
        <w:rPr>
          <w:b w:val="0"/>
          <w:sz w:val="22"/>
          <w:szCs w:val="22"/>
        </w:rPr>
        <w:t>OTA channel access delay</w:t>
      </w:r>
      <w:r w:rsidR="00A9102B">
        <w:rPr>
          <w:b w:val="0"/>
          <w:sz w:val="22"/>
          <w:szCs w:val="22"/>
        </w:rPr>
        <w:t>;</w:t>
      </w:r>
      <w:r>
        <w:rPr>
          <w:b w:val="0"/>
          <w:sz w:val="22"/>
          <w:szCs w:val="22"/>
        </w:rPr>
        <w:t xml:space="preserve"> </w:t>
      </w:r>
      <w:r w:rsidR="00A9102B">
        <w:rPr>
          <w:b w:val="0"/>
          <w:sz w:val="22"/>
          <w:szCs w:val="22"/>
        </w:rPr>
        <w:t>(2)</w:t>
      </w:r>
      <w:r>
        <w:rPr>
          <w:b w:val="0"/>
          <w:sz w:val="22"/>
          <w:szCs w:val="22"/>
        </w:rPr>
        <w:t xml:space="preserve"> imperfect backhauls</w:t>
      </w:r>
      <w:r w:rsidR="00A9102B">
        <w:rPr>
          <w:b w:val="0"/>
          <w:sz w:val="22"/>
          <w:szCs w:val="22"/>
        </w:rPr>
        <w:t xml:space="preserve">; and (3) symbol-level asynchronism due to non-co-located cells/independent clock references, </w:t>
      </w:r>
      <w:r>
        <w:rPr>
          <w:b w:val="0"/>
          <w:sz w:val="22"/>
          <w:szCs w:val="22"/>
        </w:rPr>
        <w:t>may also need further study.</w:t>
      </w:r>
    </w:p>
    <w:p w14:paraId="50F5E488" w14:textId="77777777" w:rsidR="00780FEA" w:rsidRDefault="00780FEA" w:rsidP="00780FEA">
      <w:pPr>
        <w:pStyle w:val="LGTdoc1"/>
        <w:spacing w:beforeLines="0" w:before="120" w:after="220" w:afterAutospacing="0"/>
        <w:rPr>
          <w:b w:val="0"/>
          <w:sz w:val="22"/>
          <w:szCs w:val="22"/>
        </w:rPr>
      </w:pPr>
      <w:r>
        <w:rPr>
          <w:b w:val="0"/>
          <w:sz w:val="22"/>
          <w:szCs w:val="22"/>
        </w:rPr>
        <w:t>We believe that addressing some of these issues would result in a standalone unlicensed system whereby a UE can leverage the advantages of high capacity offered by 60GHz and coverage from sub-6GHz in a low-power implementation.</w:t>
      </w:r>
    </w:p>
    <w:p w14:paraId="4C3A7604" w14:textId="77777777" w:rsidR="00C74E08" w:rsidRDefault="00D76672" w:rsidP="003F0FE0">
      <w:pPr>
        <w:pStyle w:val="Caption"/>
        <w:keepNext/>
        <w:jc w:val="center"/>
      </w:pPr>
      <w:r>
        <w:pict w14:anchorId="5335E68C">
          <v:shape id="_x0000_i1026" type="#_x0000_t75" style="width:468.5pt;height:147pt">
            <v:imagedata r:id="rId15" o:title=""/>
          </v:shape>
        </w:pict>
      </w:r>
    </w:p>
    <w:p w14:paraId="5DD6F14F" w14:textId="53968F8F" w:rsidR="00156740" w:rsidRDefault="00C74E08" w:rsidP="00C74E0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Coverage Disparity between sub-6 and mmW</w:t>
      </w:r>
    </w:p>
    <w:p w14:paraId="2489487C" w14:textId="77777777" w:rsidR="00C74E08" w:rsidRDefault="00780FEA" w:rsidP="00C74E08">
      <w:pPr>
        <w:keepNext/>
        <w:jc w:val="center"/>
      </w:pPr>
      <w:r>
        <w:object w:dxaOrig="8418" w:dyaOrig="8971" w14:anchorId="55DA66F8">
          <v:shape id="_x0000_i1027" type="#_x0000_t75" style="width:239.5pt;height:255pt" o:ole="">
            <v:imagedata r:id="rId16" o:title=""/>
          </v:shape>
          <o:OLEObject Type="Embed" ProgID="Visio.Drawing.11" ShapeID="_x0000_i1027" DrawAspect="Content" ObjectID="_1580287246" r:id="rId17"/>
        </w:object>
      </w:r>
    </w:p>
    <w:p w14:paraId="363D662A" w14:textId="12969AE0" w:rsidR="00C74E08" w:rsidRDefault="00C74E08" w:rsidP="003F0FE0">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2F7C6B">
        <w:t>Non-co-located cell deployment model</w:t>
      </w:r>
    </w:p>
    <w:p w14:paraId="035ABA33" w14:textId="5461E46F" w:rsidR="00156740" w:rsidRPr="00156740" w:rsidRDefault="00156740" w:rsidP="00156740">
      <w:pPr>
        <w:pStyle w:val="Caption"/>
      </w:pPr>
      <w:r w:rsidRPr="00780FEA">
        <w:t>Proposal 4: NR unlicensed should study design optimizations to traditional CA and DC approaches to</w:t>
      </w:r>
      <w:r>
        <w:t xml:space="preserve"> deal with dynamic UL capabilities and asynchronous operation between </w:t>
      </w:r>
      <w:r w:rsidR="00A9102B">
        <w:t>cells</w:t>
      </w:r>
      <w:r w:rsidRPr="00780FEA">
        <w:t xml:space="preserve"> enable joint operation in</w:t>
      </w:r>
      <w:r w:rsidRPr="00156740">
        <w:t xml:space="preserve"> sub-6 and mmW bands in a standalone unlicensed operation</w:t>
      </w:r>
    </w:p>
    <w:p w14:paraId="47EE6F22" w14:textId="2B1F7B4A" w:rsidR="00A52031" w:rsidRDefault="00A52031" w:rsidP="00AE7F84">
      <w:pPr>
        <w:pStyle w:val="Heading1"/>
      </w:pPr>
      <w:bookmarkStart w:id="3" w:name="_Hlk506374382"/>
      <w:r>
        <w:t xml:space="preserve">Synchronous </w:t>
      </w:r>
      <w:bookmarkEnd w:id="3"/>
      <w:r w:rsidR="002F7EAB">
        <w:t>Operation</w:t>
      </w:r>
    </w:p>
    <w:p w14:paraId="6A954552" w14:textId="77777777" w:rsidR="00491525" w:rsidRPr="00877E49" w:rsidRDefault="002F7EAB" w:rsidP="00A52031">
      <w:pPr>
        <w:pStyle w:val="LGTdoc1"/>
        <w:spacing w:beforeLines="0" w:before="120" w:after="220" w:afterAutospacing="0"/>
        <w:rPr>
          <w:b w:val="0"/>
          <w:sz w:val="20"/>
        </w:rPr>
      </w:pPr>
      <w:r w:rsidRPr="00877E49">
        <w:rPr>
          <w:b w:val="0"/>
          <w:sz w:val="20"/>
        </w:rPr>
        <w:t>Operation</w:t>
      </w:r>
      <w:r w:rsidR="00A53FAE" w:rsidRPr="00877E49">
        <w:rPr>
          <w:b w:val="0"/>
          <w:sz w:val="20"/>
        </w:rPr>
        <w:t xml:space="preserve"> on unlicensed carrier across all the deployment scenarios discussed earlier </w:t>
      </w:r>
      <w:r w:rsidRPr="00877E49">
        <w:rPr>
          <w:b w:val="0"/>
          <w:sz w:val="20"/>
        </w:rPr>
        <w:t xml:space="preserve">(CA/DC/Standalone) </w:t>
      </w:r>
      <w:r w:rsidR="00A53FAE" w:rsidRPr="00877E49">
        <w:rPr>
          <w:b w:val="0"/>
          <w:sz w:val="20"/>
        </w:rPr>
        <w:t>could be synchronous or asynchronous. Furthermore</w:t>
      </w:r>
      <w:r w:rsidR="00EE5C18" w:rsidRPr="00877E49">
        <w:rPr>
          <w:b w:val="0"/>
          <w:sz w:val="20"/>
        </w:rPr>
        <w:t>,</w:t>
      </w:r>
      <w:r w:rsidR="00A53FAE" w:rsidRPr="00877E49">
        <w:rPr>
          <w:b w:val="0"/>
          <w:sz w:val="20"/>
        </w:rPr>
        <w:t xml:space="preserve"> the synchronization could be within cells of an operator or include synchronization across different operators.</w:t>
      </w:r>
      <w:r w:rsidR="00EE5C18" w:rsidRPr="00877E49">
        <w:rPr>
          <w:b w:val="0"/>
          <w:sz w:val="20"/>
        </w:rPr>
        <w:t xml:space="preserve"> </w:t>
      </w:r>
    </w:p>
    <w:p w14:paraId="2E159104" w14:textId="0E167D9C" w:rsidR="00491525" w:rsidRPr="00877E49" w:rsidRDefault="00491525" w:rsidP="00A52031">
      <w:pPr>
        <w:pStyle w:val="LGTdoc1"/>
        <w:spacing w:beforeLines="0" w:before="120" w:after="220" w:afterAutospacing="0"/>
        <w:rPr>
          <w:b w:val="0"/>
          <w:sz w:val="20"/>
        </w:rPr>
      </w:pPr>
      <w:r w:rsidRPr="00877E49">
        <w:rPr>
          <w:b w:val="0"/>
          <w:sz w:val="20"/>
        </w:rPr>
        <w:t>Synchronization is a basic requirement if we wish to benefit from advanced techniques such as CoMP where multiple gNBs coordinate transmissions to one or more UEs.</w:t>
      </w:r>
      <w:r w:rsidR="00E0021E" w:rsidRPr="00877E49">
        <w:rPr>
          <w:b w:val="0"/>
          <w:sz w:val="20"/>
        </w:rPr>
        <w:t xml:space="preserve"> Synchronous deployments also enable better reuse – for example neighbouring gNBs on unlicensed spectrum can communicate at the same time with dynamic interference management techniques.</w:t>
      </w:r>
    </w:p>
    <w:p w14:paraId="24DE4F39" w14:textId="6C92908F" w:rsidR="00E0021E" w:rsidRDefault="00491525" w:rsidP="006031B9">
      <w:pPr>
        <w:pStyle w:val="LGTdoc1"/>
        <w:spacing w:beforeLines="0" w:before="120" w:after="220" w:afterAutospacing="0"/>
        <w:rPr>
          <w:b w:val="0"/>
          <w:sz w:val="20"/>
        </w:rPr>
      </w:pPr>
      <w:r w:rsidRPr="00877E49">
        <w:rPr>
          <w:b w:val="0"/>
          <w:sz w:val="20"/>
        </w:rPr>
        <w:t xml:space="preserve">Time synchronization among operators opens the door for </w:t>
      </w:r>
      <w:r w:rsidR="00065577" w:rsidRPr="00877E49">
        <w:rPr>
          <w:b w:val="0"/>
          <w:sz w:val="20"/>
        </w:rPr>
        <w:t>new paradigm of</w:t>
      </w:r>
      <w:r w:rsidRPr="00877E49">
        <w:rPr>
          <w:b w:val="0"/>
          <w:sz w:val="20"/>
        </w:rPr>
        <w:t xml:space="preserve"> sharing </w:t>
      </w:r>
      <w:r w:rsidR="00E0021E" w:rsidRPr="00877E49">
        <w:rPr>
          <w:b w:val="0"/>
          <w:sz w:val="20"/>
        </w:rPr>
        <w:t>techniques</w:t>
      </w:r>
      <w:r w:rsidRPr="00877E49">
        <w:rPr>
          <w:b w:val="0"/>
          <w:sz w:val="20"/>
        </w:rPr>
        <w:t>.</w:t>
      </w:r>
      <w:r w:rsidR="00E0021E" w:rsidRPr="00877E49">
        <w:rPr>
          <w:b w:val="0"/>
          <w:sz w:val="20"/>
        </w:rPr>
        <w:t xml:space="preserve"> It</w:t>
      </w:r>
      <w:r w:rsidRPr="00877E49">
        <w:rPr>
          <w:b w:val="0"/>
          <w:sz w:val="20"/>
        </w:rPr>
        <w:t xml:space="preserve"> allows coordination among operators to improve efficiency and robustness</w:t>
      </w:r>
      <w:r w:rsidR="00E0021E" w:rsidRPr="00877E49">
        <w:rPr>
          <w:b w:val="0"/>
          <w:sz w:val="20"/>
        </w:rPr>
        <w:t xml:space="preserve">. For example, </w:t>
      </w:r>
      <w:r w:rsidRPr="00877E49">
        <w:rPr>
          <w:b w:val="0"/>
          <w:sz w:val="20"/>
        </w:rPr>
        <w:t xml:space="preserve">QoS </w:t>
      </w:r>
      <w:r w:rsidR="00E0021E" w:rsidRPr="00877E49">
        <w:rPr>
          <w:b w:val="0"/>
          <w:sz w:val="20"/>
        </w:rPr>
        <w:t xml:space="preserve">can be enhanced </w:t>
      </w:r>
      <w:r w:rsidRPr="00877E49">
        <w:rPr>
          <w:b w:val="0"/>
          <w:sz w:val="20"/>
        </w:rPr>
        <w:t xml:space="preserve">by </w:t>
      </w:r>
      <w:r w:rsidR="00E0021E" w:rsidRPr="00877E49">
        <w:rPr>
          <w:b w:val="0"/>
          <w:sz w:val="20"/>
        </w:rPr>
        <w:t>having</w:t>
      </w:r>
      <w:r w:rsidRPr="00877E49">
        <w:rPr>
          <w:b w:val="0"/>
          <w:sz w:val="20"/>
        </w:rPr>
        <w:t xml:space="preserve"> guaranteed and prioritized resource allocation for each operator</w:t>
      </w:r>
      <w:r w:rsidR="00E0021E" w:rsidRPr="00877E49">
        <w:rPr>
          <w:b w:val="0"/>
          <w:sz w:val="20"/>
        </w:rPr>
        <w:t>. Other operators can use those resources if the operator with higher priority isn’t using it.</w:t>
      </w:r>
      <w:r w:rsidRPr="00877E49">
        <w:rPr>
          <w:b w:val="0"/>
          <w:sz w:val="20"/>
        </w:rPr>
        <w:t xml:space="preserve"> </w:t>
      </w:r>
      <w:r w:rsidR="006031B9" w:rsidRPr="00877E49">
        <w:rPr>
          <w:b w:val="0"/>
          <w:sz w:val="20"/>
        </w:rPr>
        <w:t xml:space="preserve">In Fig. 2 below for example we show a resource sharing scheme across operators that can be used in a synchronous network. It has a shared data region that can be used either by operator 1 or operator 2 with operator 1 having higher priority. </w:t>
      </w:r>
      <w:r w:rsidR="00877E49" w:rsidRPr="00877E49">
        <w:rPr>
          <w:b w:val="0"/>
          <w:sz w:val="20"/>
        </w:rPr>
        <w:t>CUI-T</w:t>
      </w:r>
      <w:r w:rsidR="006031B9" w:rsidRPr="00877E49">
        <w:rPr>
          <w:b w:val="0"/>
          <w:sz w:val="20"/>
        </w:rPr>
        <w:t>/</w:t>
      </w:r>
      <w:r w:rsidR="00877E49" w:rsidRPr="00877E49">
        <w:rPr>
          <w:b w:val="0"/>
          <w:sz w:val="20"/>
        </w:rPr>
        <w:t>CUI-R</w:t>
      </w:r>
      <w:r w:rsidR="006031B9" w:rsidRPr="00877E49">
        <w:rPr>
          <w:b w:val="0"/>
          <w:sz w:val="20"/>
        </w:rPr>
        <w:t xml:space="preserve"> are </w:t>
      </w:r>
      <w:r w:rsidR="00877E49" w:rsidRPr="00877E49">
        <w:rPr>
          <w:b w:val="0"/>
          <w:sz w:val="20"/>
        </w:rPr>
        <w:t>channel usage indicator signals. These are</w:t>
      </w:r>
      <w:r w:rsidR="006031B9" w:rsidRPr="00877E49">
        <w:rPr>
          <w:b w:val="0"/>
          <w:sz w:val="20"/>
        </w:rPr>
        <w:t xml:space="preserve"> control signals sent </w:t>
      </w:r>
      <w:r w:rsidR="00877E49" w:rsidRPr="00877E49">
        <w:rPr>
          <w:b w:val="0"/>
          <w:sz w:val="20"/>
        </w:rPr>
        <w:t xml:space="preserve">by transmitter and receiver of a particular communication </w:t>
      </w:r>
      <w:r w:rsidR="006031B9" w:rsidRPr="00877E49">
        <w:rPr>
          <w:b w:val="0"/>
          <w:sz w:val="20"/>
        </w:rPr>
        <w:t>to reserve the shared data region. Fig. 3 shows an extension of this scheme to multiple operators.</w:t>
      </w:r>
    </w:p>
    <w:p w14:paraId="08740A6A" w14:textId="77777777" w:rsidR="002B2583" w:rsidRDefault="002B2583" w:rsidP="002B2583">
      <w:pPr>
        <w:pStyle w:val="LGTdoc1"/>
        <w:keepNext/>
        <w:spacing w:beforeLines="0" w:before="120" w:after="220" w:afterAutospacing="0"/>
        <w:jc w:val="center"/>
      </w:pPr>
      <w:r>
        <w:rPr>
          <w:b w:val="0"/>
          <w:sz w:val="20"/>
        </w:rPr>
        <w:object w:dxaOrig="6940" w:dyaOrig="2247" w14:anchorId="2E0755DA">
          <v:shape id="_x0000_i1028" type="#_x0000_t75" style="width:227pt;height:73.5pt" o:ole="">
            <v:imagedata r:id="rId18" o:title=""/>
          </v:shape>
          <o:OLEObject Type="Embed" ProgID="Visio.Drawing.11" ShapeID="_x0000_i1028" DrawAspect="Content" ObjectID="_1580287247" r:id="rId19"/>
        </w:object>
      </w:r>
    </w:p>
    <w:p w14:paraId="3B4F0941" w14:textId="2D1B2738" w:rsidR="006031B9" w:rsidRDefault="002B2583" w:rsidP="002B2583">
      <w:pPr>
        <w:pStyle w:val="Caption"/>
        <w:jc w:val="center"/>
      </w:pPr>
      <w:r>
        <w:t xml:space="preserve">Figure </w:t>
      </w:r>
      <w:r>
        <w:fldChar w:fldCharType="begin"/>
      </w:r>
      <w:r>
        <w:instrText xml:space="preserve"> SEQ Figure \* ARABIC </w:instrText>
      </w:r>
      <w:r>
        <w:fldChar w:fldCharType="separate"/>
      </w:r>
      <w:r w:rsidR="00DE5D84">
        <w:rPr>
          <w:noProof/>
        </w:rPr>
        <w:t>4</w:t>
      </w:r>
      <w:r>
        <w:fldChar w:fldCharType="end"/>
      </w:r>
      <w:r>
        <w:t xml:space="preserve">: </w:t>
      </w:r>
      <w:r w:rsidRPr="005518CB">
        <w:t>Guaranteed and prioritized resource sharing scheme across two operators in synchronous network</w:t>
      </w:r>
    </w:p>
    <w:p w14:paraId="624E9075" w14:textId="77777777" w:rsidR="002B2583" w:rsidRPr="002B2583" w:rsidRDefault="002B2583" w:rsidP="002B2583">
      <w:pPr>
        <w:rPr>
          <w:lang w:val="en-GB" w:eastAsia="en-US"/>
        </w:rPr>
      </w:pPr>
    </w:p>
    <w:p w14:paraId="19A9070F" w14:textId="77777777" w:rsidR="006031B9" w:rsidRDefault="006031B9" w:rsidP="006031B9">
      <w:pPr>
        <w:pStyle w:val="LGTdoc1"/>
        <w:keepNext/>
        <w:spacing w:beforeLines="0" w:before="120" w:after="220" w:afterAutospacing="0"/>
        <w:jc w:val="center"/>
      </w:pPr>
      <w:r w:rsidRPr="006031B9">
        <w:rPr>
          <w:sz w:val="22"/>
          <w:szCs w:val="22"/>
          <w:lang w:val="en-US"/>
        </w:rPr>
        <w:object w:dxaOrig="16006" w:dyaOrig="2847" w14:anchorId="0FB9D917">
          <v:shape id="_x0000_i1029" type="#_x0000_t75" style="width:468pt;height:83.5pt" o:ole="">
            <v:imagedata r:id="rId20" o:title=""/>
          </v:shape>
          <o:OLEObject Type="Embed" ProgID="Visio.Drawing.11" ShapeID="_x0000_i1029" DrawAspect="Content" ObjectID="_1580287248" r:id="rId21"/>
        </w:object>
      </w:r>
    </w:p>
    <w:p w14:paraId="017D5F0C" w14:textId="05BC4A2B" w:rsidR="006031B9" w:rsidRDefault="006031B9" w:rsidP="006031B9">
      <w:pPr>
        <w:pStyle w:val="Caption"/>
        <w:jc w:val="center"/>
        <w:rPr>
          <w:b w:val="0"/>
          <w:sz w:val="22"/>
          <w:szCs w:val="22"/>
        </w:rPr>
      </w:pPr>
      <w:r>
        <w:t xml:space="preserve">Figure </w:t>
      </w:r>
      <w:r>
        <w:fldChar w:fldCharType="begin"/>
      </w:r>
      <w:r>
        <w:instrText xml:space="preserve"> SEQ Figure \* ARABIC </w:instrText>
      </w:r>
      <w:r>
        <w:fldChar w:fldCharType="separate"/>
      </w:r>
      <w:r w:rsidR="00DE5D84">
        <w:rPr>
          <w:noProof/>
        </w:rPr>
        <w:t>5</w:t>
      </w:r>
      <w:r>
        <w:fldChar w:fldCharType="end"/>
      </w:r>
      <w:r>
        <w:t>:</w:t>
      </w:r>
      <w:r w:rsidRPr="00A72DE5">
        <w:t xml:space="preserve"> Resource </w:t>
      </w:r>
      <w:r>
        <w:t>s</w:t>
      </w:r>
      <w:r w:rsidRPr="00A72DE5">
        <w:t xml:space="preserve">haring </w:t>
      </w:r>
      <w:r>
        <w:t>s</w:t>
      </w:r>
      <w:r w:rsidRPr="00A72DE5">
        <w:t xml:space="preserve">cheme across </w:t>
      </w:r>
      <w:r>
        <w:t xml:space="preserve">multiple </w:t>
      </w:r>
      <w:r w:rsidRPr="00A72DE5">
        <w:t>operators in synchronous network</w:t>
      </w:r>
    </w:p>
    <w:p w14:paraId="518B916F" w14:textId="42FE898B" w:rsidR="00E0021E" w:rsidRPr="00877E49" w:rsidRDefault="00E0021E" w:rsidP="00E0021E">
      <w:pPr>
        <w:pStyle w:val="LGTdoc1"/>
        <w:spacing w:beforeLines="0" w:before="120" w:after="220" w:afterAutospacing="0"/>
        <w:rPr>
          <w:b w:val="0"/>
          <w:sz w:val="20"/>
        </w:rPr>
      </w:pPr>
      <w:r w:rsidRPr="00877E49">
        <w:rPr>
          <w:b w:val="0"/>
          <w:sz w:val="20"/>
        </w:rPr>
        <w:t xml:space="preserve">In [2], </w:t>
      </w:r>
      <w:r w:rsidR="00D97D94" w:rsidRPr="00877E49">
        <w:rPr>
          <w:b w:val="0"/>
          <w:sz w:val="20"/>
        </w:rPr>
        <w:t xml:space="preserve">frame based equipment </w:t>
      </w:r>
      <w:r w:rsidR="00D97D94">
        <w:rPr>
          <w:b w:val="0"/>
          <w:sz w:val="20"/>
        </w:rPr>
        <w:t>(</w:t>
      </w:r>
      <w:r w:rsidRPr="00877E49">
        <w:rPr>
          <w:b w:val="0"/>
          <w:sz w:val="20"/>
        </w:rPr>
        <w:t xml:space="preserve">FBE) is specified as one of the mechanism for medium sensing to detect the presence of other RLAN transmissions on an </w:t>
      </w:r>
      <w:r w:rsidR="00721540">
        <w:rPr>
          <w:b w:val="0"/>
          <w:sz w:val="20"/>
        </w:rPr>
        <w:t>o</w:t>
      </w:r>
      <w:r w:rsidRPr="00877E49">
        <w:rPr>
          <w:b w:val="0"/>
          <w:sz w:val="20"/>
        </w:rPr>
        <w:t xml:space="preserve">perating </w:t>
      </w:r>
      <w:r w:rsidR="00721540">
        <w:rPr>
          <w:b w:val="0"/>
          <w:sz w:val="20"/>
        </w:rPr>
        <w:t>c</w:t>
      </w:r>
      <w:r w:rsidRPr="00877E49">
        <w:rPr>
          <w:b w:val="0"/>
          <w:sz w:val="20"/>
        </w:rPr>
        <w:t xml:space="preserve">hannel in the 5GHz band. </w:t>
      </w:r>
      <w:r w:rsidR="00721540">
        <w:rPr>
          <w:b w:val="0"/>
          <w:sz w:val="20"/>
        </w:rPr>
        <w:t>In FBE based channel access,</w:t>
      </w:r>
      <w:r w:rsidRPr="00877E49">
        <w:rPr>
          <w:b w:val="0"/>
          <w:sz w:val="20"/>
        </w:rPr>
        <w:t xml:space="preserve"> the transmit/receive structure has a periodic timing with a periodicity equal to </w:t>
      </w:r>
      <w:r w:rsidR="00721540">
        <w:rPr>
          <w:b w:val="0"/>
          <w:sz w:val="20"/>
        </w:rPr>
        <w:t>a</w:t>
      </w:r>
      <w:r w:rsidRPr="00877E49">
        <w:rPr>
          <w:b w:val="0"/>
          <w:sz w:val="20"/>
        </w:rPr>
        <w:t xml:space="preserve"> </w:t>
      </w:r>
      <w:r w:rsidR="00721540">
        <w:rPr>
          <w:b w:val="0"/>
          <w:sz w:val="20"/>
        </w:rPr>
        <w:t>f</w:t>
      </w:r>
      <w:r w:rsidRPr="00877E49">
        <w:rPr>
          <w:b w:val="0"/>
          <w:sz w:val="20"/>
        </w:rPr>
        <w:t xml:space="preserve">ixed </w:t>
      </w:r>
      <w:r w:rsidR="00721540">
        <w:rPr>
          <w:b w:val="0"/>
          <w:sz w:val="20"/>
        </w:rPr>
        <w:t>f</w:t>
      </w:r>
      <w:r w:rsidRPr="00877E49">
        <w:rPr>
          <w:b w:val="0"/>
          <w:sz w:val="20"/>
        </w:rPr>
        <w:t xml:space="preserve">rame </w:t>
      </w:r>
      <w:r w:rsidR="00721540">
        <w:rPr>
          <w:b w:val="0"/>
          <w:sz w:val="20"/>
        </w:rPr>
        <w:t>p</w:t>
      </w:r>
      <w:r w:rsidRPr="00877E49">
        <w:rPr>
          <w:b w:val="0"/>
          <w:sz w:val="20"/>
        </w:rPr>
        <w:t xml:space="preserve">eriod. </w:t>
      </w:r>
      <w:r w:rsidR="00721540">
        <w:rPr>
          <w:b w:val="0"/>
          <w:sz w:val="20"/>
        </w:rPr>
        <w:t>Due to this structure, t</w:t>
      </w:r>
      <w:r w:rsidRPr="00877E49">
        <w:rPr>
          <w:b w:val="0"/>
          <w:sz w:val="20"/>
        </w:rPr>
        <w:t xml:space="preserve">he FBE based </w:t>
      </w:r>
      <w:r w:rsidR="00721540">
        <w:rPr>
          <w:b w:val="0"/>
          <w:sz w:val="20"/>
        </w:rPr>
        <w:t>channel access</w:t>
      </w:r>
      <w:r w:rsidRPr="00877E49">
        <w:rPr>
          <w:b w:val="0"/>
          <w:sz w:val="20"/>
        </w:rPr>
        <w:t xml:space="preserve"> is expected to </w:t>
      </w:r>
      <w:r w:rsidR="00721540">
        <w:rPr>
          <w:b w:val="0"/>
          <w:sz w:val="20"/>
        </w:rPr>
        <w:t xml:space="preserve">be </w:t>
      </w:r>
      <w:r w:rsidRPr="00877E49">
        <w:rPr>
          <w:b w:val="0"/>
          <w:sz w:val="20"/>
        </w:rPr>
        <w:t>better suit</w:t>
      </w:r>
      <w:r w:rsidR="00721540">
        <w:rPr>
          <w:b w:val="0"/>
          <w:sz w:val="20"/>
        </w:rPr>
        <w:t>ed to</w:t>
      </w:r>
      <w:r w:rsidRPr="00877E49">
        <w:rPr>
          <w:b w:val="0"/>
          <w:sz w:val="20"/>
        </w:rPr>
        <w:t xml:space="preserve"> synchronized deployment.</w:t>
      </w:r>
    </w:p>
    <w:p w14:paraId="7D0CEECA" w14:textId="2D0FD923" w:rsidR="00491525" w:rsidRPr="00877E49" w:rsidRDefault="00491525" w:rsidP="00A52031">
      <w:pPr>
        <w:pStyle w:val="LGTdoc1"/>
        <w:spacing w:beforeLines="0" w:before="120" w:after="220" w:afterAutospacing="0"/>
        <w:rPr>
          <w:b w:val="0"/>
          <w:sz w:val="20"/>
        </w:rPr>
      </w:pPr>
      <w:r w:rsidRPr="00877E49">
        <w:rPr>
          <w:b w:val="0"/>
          <w:sz w:val="20"/>
        </w:rPr>
        <w:t xml:space="preserve">There is already precedent for synchronized deployment. For example, synchronized deployment has been introduced in 3.5GHz CBRS band. </w:t>
      </w:r>
      <w:r w:rsidR="00065577" w:rsidRPr="00877E49">
        <w:rPr>
          <w:b w:val="0"/>
          <w:sz w:val="20"/>
        </w:rPr>
        <w:t>Additionally, g</w:t>
      </w:r>
      <w:r w:rsidR="00A52031" w:rsidRPr="00877E49">
        <w:rPr>
          <w:b w:val="0"/>
          <w:sz w:val="20"/>
        </w:rPr>
        <w:t>reen field spectrum</w:t>
      </w:r>
      <w:r w:rsidR="006031B9" w:rsidRPr="00877E49">
        <w:rPr>
          <w:b w:val="0"/>
          <w:sz w:val="20"/>
        </w:rPr>
        <w:t xml:space="preserve"> (e.g. 5.9-6.4GHz, 37-37.6GHz, 64-71GHz) </w:t>
      </w:r>
      <w:r w:rsidR="00A52031" w:rsidRPr="00877E49">
        <w:rPr>
          <w:b w:val="0"/>
          <w:sz w:val="20"/>
        </w:rPr>
        <w:t xml:space="preserve">is </w:t>
      </w:r>
      <w:r w:rsidR="006031B9" w:rsidRPr="00877E49">
        <w:rPr>
          <w:b w:val="0"/>
          <w:sz w:val="20"/>
        </w:rPr>
        <w:t xml:space="preserve">potentially </w:t>
      </w:r>
      <w:r w:rsidR="00A52031" w:rsidRPr="00877E49">
        <w:rPr>
          <w:b w:val="0"/>
          <w:sz w:val="20"/>
        </w:rPr>
        <w:t xml:space="preserve">available </w:t>
      </w:r>
      <w:r w:rsidR="006031B9" w:rsidRPr="00877E49">
        <w:rPr>
          <w:b w:val="0"/>
          <w:sz w:val="20"/>
        </w:rPr>
        <w:t>for</w:t>
      </w:r>
      <w:r w:rsidR="00A52031" w:rsidRPr="00877E49">
        <w:rPr>
          <w:b w:val="0"/>
          <w:sz w:val="20"/>
        </w:rPr>
        <w:t xml:space="preserve"> NR-U without incumbents like WiFi </w:t>
      </w:r>
      <w:r w:rsidRPr="00877E49">
        <w:rPr>
          <w:b w:val="0"/>
          <w:sz w:val="20"/>
        </w:rPr>
        <w:t xml:space="preserve">where </w:t>
      </w:r>
      <w:r w:rsidR="00E0021E" w:rsidRPr="00877E49">
        <w:rPr>
          <w:b w:val="0"/>
          <w:sz w:val="20"/>
        </w:rPr>
        <w:t xml:space="preserve">synchronous </w:t>
      </w:r>
      <w:r w:rsidRPr="00877E49">
        <w:rPr>
          <w:b w:val="0"/>
          <w:sz w:val="20"/>
        </w:rPr>
        <w:t xml:space="preserve">deployments can </w:t>
      </w:r>
      <w:r w:rsidR="00E0021E" w:rsidRPr="00877E49">
        <w:rPr>
          <w:b w:val="0"/>
          <w:sz w:val="20"/>
        </w:rPr>
        <w:t xml:space="preserve">also </w:t>
      </w:r>
      <w:r w:rsidRPr="00877E49">
        <w:rPr>
          <w:b w:val="0"/>
          <w:sz w:val="20"/>
        </w:rPr>
        <w:t xml:space="preserve">be </w:t>
      </w:r>
      <w:r w:rsidR="00E0021E" w:rsidRPr="00877E49">
        <w:rPr>
          <w:b w:val="0"/>
          <w:sz w:val="20"/>
        </w:rPr>
        <w:t>considered</w:t>
      </w:r>
      <w:r w:rsidR="00A52031" w:rsidRPr="00877E49">
        <w:rPr>
          <w:b w:val="0"/>
          <w:sz w:val="20"/>
        </w:rPr>
        <w:t xml:space="preserve">. </w:t>
      </w:r>
      <w:r w:rsidR="00E0021E" w:rsidRPr="00877E49">
        <w:rPr>
          <w:b w:val="0"/>
          <w:sz w:val="20"/>
        </w:rPr>
        <w:t>Given the benefits</w:t>
      </w:r>
      <w:r w:rsidR="000300BD" w:rsidRPr="00877E49">
        <w:rPr>
          <w:b w:val="0"/>
          <w:sz w:val="20"/>
        </w:rPr>
        <w:t xml:space="preserve"> provided by synchronous deployments and the available spectrum where </w:t>
      </w:r>
      <w:r w:rsidR="00065577" w:rsidRPr="00877E49">
        <w:rPr>
          <w:b w:val="0"/>
          <w:sz w:val="20"/>
        </w:rPr>
        <w:t xml:space="preserve">synchronous deployment is possible, </w:t>
      </w:r>
      <w:r w:rsidR="000300BD" w:rsidRPr="00877E49">
        <w:rPr>
          <w:b w:val="0"/>
          <w:sz w:val="20"/>
        </w:rPr>
        <w:t>we believe this should be considered in the NR-U SI.</w:t>
      </w:r>
    </w:p>
    <w:p w14:paraId="780A8697" w14:textId="2375F74A" w:rsidR="00A52031" w:rsidRPr="00877E49" w:rsidRDefault="00EE5C18" w:rsidP="00A52031">
      <w:pPr>
        <w:rPr>
          <w:rFonts w:ascii="Times New Roman"/>
          <w:b/>
          <w:snapToGrid w:val="0"/>
          <w:kern w:val="0"/>
          <w:szCs w:val="20"/>
          <w:lang w:val="en-GB"/>
        </w:rPr>
      </w:pPr>
      <w:r w:rsidRPr="00877E49">
        <w:rPr>
          <w:rFonts w:ascii="Times New Roman"/>
          <w:b/>
          <w:snapToGrid w:val="0"/>
          <w:kern w:val="0"/>
          <w:szCs w:val="20"/>
          <w:u w:val="single"/>
          <w:lang w:val="en-GB"/>
        </w:rPr>
        <w:t xml:space="preserve">Proposal </w:t>
      </w:r>
      <w:r w:rsidR="00780FEA">
        <w:rPr>
          <w:rFonts w:ascii="Times New Roman"/>
          <w:b/>
          <w:snapToGrid w:val="0"/>
          <w:kern w:val="0"/>
          <w:szCs w:val="20"/>
          <w:u w:val="single"/>
          <w:lang w:val="en-GB"/>
        </w:rPr>
        <w:t>5</w:t>
      </w:r>
      <w:r w:rsidRPr="00877E49">
        <w:rPr>
          <w:rFonts w:ascii="Times New Roman"/>
          <w:b/>
          <w:snapToGrid w:val="0"/>
          <w:kern w:val="0"/>
          <w:szCs w:val="20"/>
          <w:u w:val="single"/>
          <w:lang w:val="en-GB"/>
        </w:rPr>
        <w:t>:</w:t>
      </w:r>
      <w:r w:rsidRPr="00877E49">
        <w:rPr>
          <w:rFonts w:ascii="Times New Roman"/>
          <w:b/>
          <w:snapToGrid w:val="0"/>
          <w:kern w:val="0"/>
          <w:szCs w:val="20"/>
          <w:lang w:val="en-GB"/>
        </w:rPr>
        <w:t xml:space="preserve"> NR-U SI should study design optimizations assuming cross operator synchronized deployment</w:t>
      </w:r>
    </w:p>
    <w:p w14:paraId="45589DED" w14:textId="77777777" w:rsidR="00A52031" w:rsidRPr="00EE5C18" w:rsidRDefault="00A52031" w:rsidP="00A52031">
      <w:pPr>
        <w:rPr>
          <w:rFonts w:ascii="Times New Roman"/>
          <w:b/>
          <w:snapToGrid w:val="0"/>
          <w:kern w:val="0"/>
          <w:sz w:val="22"/>
          <w:szCs w:val="22"/>
          <w:lang w:val="en-GB"/>
        </w:rPr>
      </w:pPr>
    </w:p>
    <w:p w14:paraId="1F083CA7" w14:textId="7849F2A4" w:rsidR="0095302F" w:rsidRDefault="00AE7F84" w:rsidP="00AE7F84">
      <w:pPr>
        <w:pStyle w:val="Heading1"/>
      </w:pPr>
      <w:r>
        <w:t>Conclusions</w:t>
      </w:r>
    </w:p>
    <w:p w14:paraId="48F131A3" w14:textId="0AA7450B" w:rsidR="009A0E9A" w:rsidRPr="00877E49" w:rsidRDefault="009A0E9A" w:rsidP="00D760F4">
      <w:pPr>
        <w:pStyle w:val="LGTdoc1"/>
        <w:spacing w:beforeLines="0" w:before="120" w:after="220" w:afterAutospacing="0"/>
        <w:rPr>
          <w:b w:val="0"/>
          <w:sz w:val="20"/>
        </w:rPr>
      </w:pPr>
      <w:r w:rsidRPr="00877E49">
        <w:rPr>
          <w:b w:val="0"/>
          <w:sz w:val="20"/>
        </w:rPr>
        <w:t xml:space="preserve">The proposals made in this contribution are summarized below. </w:t>
      </w:r>
    </w:p>
    <w:p w14:paraId="096E20D0" w14:textId="77777777" w:rsidR="00D760F4" w:rsidRPr="00877E49" w:rsidRDefault="00D760F4" w:rsidP="00D760F4">
      <w:pPr>
        <w:pStyle w:val="LGTdoc1"/>
        <w:spacing w:beforeLines="0" w:before="120" w:after="220" w:afterAutospacing="0"/>
        <w:rPr>
          <w:sz w:val="20"/>
        </w:rPr>
      </w:pPr>
      <w:r w:rsidRPr="00877E49">
        <w:rPr>
          <w:sz w:val="20"/>
          <w:u w:val="single"/>
        </w:rPr>
        <w:t>Proposal 1:</w:t>
      </w:r>
      <w:r w:rsidRPr="00877E49">
        <w:rPr>
          <w:sz w:val="20"/>
        </w:rPr>
        <w:t xml:space="preserve"> NR unlicensed should support carrier aggregation of NR cell on licensed spectrum and NR cell on unlicensed spectrum.  Both DL only and DL+UL CA should be supported in NR unlicensed</w:t>
      </w:r>
    </w:p>
    <w:p w14:paraId="18A051E1" w14:textId="4FB8DA63" w:rsidR="00D760F4" w:rsidRPr="00877E49" w:rsidRDefault="00D760F4" w:rsidP="00D760F4">
      <w:pPr>
        <w:pStyle w:val="LGTdoc1"/>
        <w:spacing w:beforeLines="0" w:before="120" w:after="220" w:afterAutospacing="0"/>
        <w:rPr>
          <w:sz w:val="20"/>
        </w:rPr>
      </w:pPr>
      <w:r w:rsidRPr="00877E49">
        <w:rPr>
          <w:sz w:val="20"/>
          <w:u w:val="single"/>
        </w:rPr>
        <w:t>Proposal 2:</w:t>
      </w:r>
      <w:r w:rsidRPr="00877E49">
        <w:rPr>
          <w:sz w:val="20"/>
        </w:rPr>
        <w:t xml:space="preserve"> NR unlicensed should support dual Connectivity between an LTE or NR cell on licensed spectrum and NR cell on unlicensed spectrum</w:t>
      </w:r>
    </w:p>
    <w:p w14:paraId="1ED4E611" w14:textId="502B868A" w:rsidR="00D760F4" w:rsidRDefault="00D760F4" w:rsidP="00D760F4">
      <w:pPr>
        <w:pStyle w:val="LGTdoc1"/>
        <w:spacing w:beforeLines="0" w:before="120" w:after="220" w:afterAutospacing="0"/>
        <w:rPr>
          <w:sz w:val="20"/>
        </w:rPr>
      </w:pPr>
      <w:r w:rsidRPr="00877E49">
        <w:rPr>
          <w:sz w:val="20"/>
          <w:u w:val="single"/>
        </w:rPr>
        <w:t>Proposal 3:</w:t>
      </w:r>
      <w:r w:rsidRPr="00877E49">
        <w:rPr>
          <w:sz w:val="20"/>
        </w:rPr>
        <w:t xml:space="preserve"> NR unlicensed should support standalone operation on unlicensed spectrum</w:t>
      </w:r>
    </w:p>
    <w:p w14:paraId="5993EE8E" w14:textId="77777777" w:rsidR="003F0FE0" w:rsidRPr="00D76672" w:rsidRDefault="00A9102B" w:rsidP="00D76672">
      <w:pPr>
        <w:pStyle w:val="LGTdoc1"/>
        <w:spacing w:beforeLines="0" w:before="120" w:after="220" w:afterAutospacing="0"/>
        <w:rPr>
          <w:sz w:val="20"/>
          <w:u w:val="single"/>
        </w:rPr>
      </w:pPr>
      <w:r w:rsidRPr="00D76672">
        <w:rPr>
          <w:sz w:val="20"/>
          <w:u w:val="single"/>
        </w:rPr>
        <w:t xml:space="preserve">Proposal 4: </w:t>
      </w:r>
      <w:r w:rsidRPr="00D76672">
        <w:rPr>
          <w:sz w:val="20"/>
        </w:rPr>
        <w:t>NR unlicensed should study design optimizations to traditional CA and DC approaches to deal with dynamic UL capabilities and asynchronous operation between cells enable joint operation in sub-6 and mmW bands in a standalone unlicensed operation</w:t>
      </w:r>
    </w:p>
    <w:p w14:paraId="3ABF7E00" w14:textId="31B3CB88" w:rsidR="00EE5C18" w:rsidRDefault="00EE5C18" w:rsidP="00EE5C18">
      <w:pPr>
        <w:rPr>
          <w:rFonts w:ascii="Times New Roman"/>
          <w:b/>
          <w:snapToGrid w:val="0"/>
          <w:kern w:val="0"/>
          <w:szCs w:val="20"/>
          <w:lang w:val="en-GB"/>
        </w:rPr>
      </w:pPr>
      <w:r w:rsidRPr="00877E49">
        <w:rPr>
          <w:rFonts w:ascii="Times New Roman"/>
          <w:b/>
          <w:snapToGrid w:val="0"/>
          <w:kern w:val="0"/>
          <w:szCs w:val="20"/>
          <w:u w:val="single"/>
          <w:lang w:val="en-GB"/>
        </w:rPr>
        <w:t xml:space="preserve">Proposal </w:t>
      </w:r>
      <w:r w:rsidR="00780FEA">
        <w:rPr>
          <w:rFonts w:ascii="Times New Roman"/>
          <w:b/>
          <w:snapToGrid w:val="0"/>
          <w:kern w:val="0"/>
          <w:szCs w:val="20"/>
          <w:u w:val="single"/>
          <w:lang w:val="en-GB"/>
        </w:rPr>
        <w:t>5</w:t>
      </w:r>
      <w:r w:rsidRPr="00877E49">
        <w:rPr>
          <w:rFonts w:ascii="Times New Roman"/>
          <w:b/>
          <w:snapToGrid w:val="0"/>
          <w:kern w:val="0"/>
          <w:szCs w:val="20"/>
          <w:u w:val="single"/>
          <w:lang w:val="en-GB"/>
        </w:rPr>
        <w:t>:</w:t>
      </w:r>
      <w:r w:rsidRPr="00877E49">
        <w:rPr>
          <w:rFonts w:ascii="Times New Roman"/>
          <w:b/>
          <w:snapToGrid w:val="0"/>
          <w:kern w:val="0"/>
          <w:szCs w:val="20"/>
          <w:lang w:val="en-GB"/>
        </w:rPr>
        <w:t xml:space="preserve"> NR-U SI should study design optimizations assuming cross operator synchronized deployment</w:t>
      </w:r>
    </w:p>
    <w:p w14:paraId="39CA99B3" w14:textId="77777777" w:rsidR="00877E49" w:rsidRPr="00877E49" w:rsidRDefault="00877E49" w:rsidP="00EE5C18">
      <w:pPr>
        <w:rPr>
          <w:rFonts w:ascii="Times New Roman"/>
          <w:b/>
          <w:snapToGrid w:val="0"/>
          <w:kern w:val="0"/>
          <w:szCs w:val="20"/>
          <w:lang w:val="en-GB"/>
        </w:rPr>
      </w:pPr>
    </w:p>
    <w:p w14:paraId="47A6B625" w14:textId="3D1C781A" w:rsidR="00E77804" w:rsidRDefault="00E77804" w:rsidP="00AE7F84">
      <w:pPr>
        <w:pStyle w:val="Heading1"/>
      </w:pPr>
      <w:r>
        <w:t>References</w:t>
      </w:r>
    </w:p>
    <w:p w14:paraId="2DFA7387" w14:textId="2A9D5D12" w:rsidR="007560B7" w:rsidRPr="00877E49" w:rsidRDefault="00E77804" w:rsidP="00FF47FD">
      <w:pPr>
        <w:pStyle w:val="LGTdoc1"/>
        <w:spacing w:before="120" w:after="220"/>
        <w:rPr>
          <w:b w:val="0"/>
          <w:sz w:val="20"/>
        </w:rPr>
      </w:pPr>
      <w:r w:rsidRPr="00877E49">
        <w:rPr>
          <w:b w:val="0"/>
          <w:sz w:val="20"/>
        </w:rPr>
        <w:t xml:space="preserve">[1] </w:t>
      </w:r>
      <w:r w:rsidR="00B559A2" w:rsidRPr="00877E49">
        <w:rPr>
          <w:b w:val="0"/>
          <w:sz w:val="20"/>
        </w:rPr>
        <w:t xml:space="preserve">RP-172021, </w:t>
      </w:r>
      <w:r w:rsidR="00A53FAE" w:rsidRPr="00877E49">
        <w:rPr>
          <w:b w:val="0"/>
          <w:sz w:val="20"/>
        </w:rPr>
        <w:t>“</w:t>
      </w:r>
      <w:r w:rsidR="00B559A2" w:rsidRPr="00877E49">
        <w:rPr>
          <w:b w:val="0"/>
          <w:sz w:val="20"/>
        </w:rPr>
        <w:t>Revised SID on NR-based Access to Unlicensed Spectrum</w:t>
      </w:r>
      <w:r w:rsidR="00A53FAE" w:rsidRPr="00877E49">
        <w:rPr>
          <w:b w:val="0"/>
          <w:sz w:val="20"/>
        </w:rPr>
        <w:t>”</w:t>
      </w:r>
      <w:r w:rsidR="00B559A2" w:rsidRPr="00877E49">
        <w:rPr>
          <w:b w:val="0"/>
          <w:sz w:val="20"/>
        </w:rPr>
        <w:t>, Qualcomm Incorporated, RAN#77</w:t>
      </w:r>
      <w:r w:rsidR="00877E49">
        <w:rPr>
          <w:b w:val="0"/>
          <w:sz w:val="20"/>
        </w:rPr>
        <w:t>,</w:t>
      </w:r>
      <w:r w:rsidR="00877E49" w:rsidRPr="00877E49">
        <w:rPr>
          <w:b w:val="0"/>
          <w:sz w:val="20"/>
        </w:rPr>
        <w:t xml:space="preserve"> Sapporo, Japan, 11-14 Sep. 2017.</w:t>
      </w:r>
    </w:p>
    <w:p w14:paraId="66E92921" w14:textId="1938A61E" w:rsidR="00A53FAE" w:rsidRPr="00877E49" w:rsidRDefault="00A53FAE" w:rsidP="00A53FAE">
      <w:pPr>
        <w:pStyle w:val="LGTdoc1"/>
        <w:spacing w:before="120" w:after="220"/>
        <w:rPr>
          <w:b w:val="0"/>
          <w:sz w:val="20"/>
        </w:rPr>
      </w:pPr>
      <w:r w:rsidRPr="00877E49">
        <w:rPr>
          <w:b w:val="0"/>
          <w:sz w:val="20"/>
        </w:rPr>
        <w:t>[2] ETSI EN 301 893, “5 GHz RLAN; Harmonised Standard covering the essential requirements of article 3.2 of Directive 2014/53/EU</w:t>
      </w:r>
      <w:r w:rsidR="00EE5C18" w:rsidRPr="00877E49">
        <w:rPr>
          <w:b w:val="0"/>
          <w:sz w:val="20"/>
        </w:rPr>
        <w:t xml:space="preserve"> V2.1.1</w:t>
      </w:r>
      <w:r w:rsidRPr="00877E49">
        <w:rPr>
          <w:b w:val="0"/>
          <w:sz w:val="20"/>
        </w:rPr>
        <w:t>”, ETSI Technical Committee Broadband Radio Access Networks (BRAN)</w:t>
      </w:r>
      <w:r w:rsidR="00EE5C18" w:rsidRPr="00877E49">
        <w:rPr>
          <w:b w:val="0"/>
          <w:sz w:val="20"/>
        </w:rPr>
        <w:t>, May 2017.</w:t>
      </w:r>
    </w:p>
    <w:sectPr w:rsidR="00A53FAE" w:rsidRPr="00877E49" w:rsidSect="00B47B85">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375D7" w14:textId="77777777" w:rsidR="00491525" w:rsidRDefault="00491525">
      <w:r>
        <w:separator/>
      </w:r>
    </w:p>
  </w:endnote>
  <w:endnote w:type="continuationSeparator" w:id="0">
    <w:p w14:paraId="5E17820B" w14:textId="77777777" w:rsidR="00491525" w:rsidRDefault="00491525">
      <w:r>
        <w:continuationSeparator/>
      </w:r>
    </w:p>
  </w:endnote>
  <w:endnote w:type="continuationNotice" w:id="1">
    <w:p w14:paraId="4FE53679" w14:textId="77777777" w:rsidR="00491525" w:rsidRDefault="00491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491525" w:rsidRDefault="004915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91525" w:rsidRDefault="004915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4F598CF" w:rsidR="00491525" w:rsidRDefault="0049152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6672">
      <w:rPr>
        <w:rStyle w:val="PageNumber"/>
        <w:noProof/>
      </w:rPr>
      <w:t>1</w:t>
    </w:r>
    <w:r>
      <w:rPr>
        <w:rStyle w:val="PageNumber"/>
      </w:rPr>
      <w:fldChar w:fldCharType="end"/>
    </w:r>
  </w:p>
  <w:p w14:paraId="5BFA00B5" w14:textId="77777777" w:rsidR="00491525" w:rsidRDefault="00491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0E395" w14:textId="77777777" w:rsidR="00491525" w:rsidRDefault="00491525">
      <w:r>
        <w:separator/>
      </w:r>
    </w:p>
  </w:footnote>
  <w:footnote w:type="continuationSeparator" w:id="0">
    <w:p w14:paraId="4DC8F537" w14:textId="77777777" w:rsidR="00491525" w:rsidRDefault="00491525">
      <w:r>
        <w:continuationSeparator/>
      </w:r>
    </w:p>
  </w:footnote>
  <w:footnote w:type="continuationNotice" w:id="1">
    <w:p w14:paraId="4C08F78F" w14:textId="77777777" w:rsidR="00491525" w:rsidRDefault="004915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5F12C86"/>
    <w:multiLevelType w:val="hybridMultilevel"/>
    <w:tmpl w:val="878C7FB2"/>
    <w:lvl w:ilvl="0" w:tplc="4FA2822C">
      <w:start w:val="1"/>
      <w:numFmt w:val="bullet"/>
      <w:lvlText w:val=""/>
      <w:lvlJc w:val="left"/>
      <w:pPr>
        <w:tabs>
          <w:tab w:val="num" w:pos="720"/>
        </w:tabs>
        <w:ind w:left="720" w:hanging="360"/>
      </w:pPr>
      <w:rPr>
        <w:rFonts w:ascii="Wingdings" w:hAnsi="Wingdings" w:hint="default"/>
      </w:rPr>
    </w:lvl>
    <w:lvl w:ilvl="1" w:tplc="3650F38C" w:tentative="1">
      <w:start w:val="1"/>
      <w:numFmt w:val="bullet"/>
      <w:lvlText w:val=""/>
      <w:lvlJc w:val="left"/>
      <w:pPr>
        <w:tabs>
          <w:tab w:val="num" w:pos="1440"/>
        </w:tabs>
        <w:ind w:left="1440" w:hanging="360"/>
      </w:pPr>
      <w:rPr>
        <w:rFonts w:ascii="Wingdings" w:hAnsi="Wingdings" w:hint="default"/>
      </w:rPr>
    </w:lvl>
    <w:lvl w:ilvl="2" w:tplc="C4AEB944" w:tentative="1">
      <w:start w:val="1"/>
      <w:numFmt w:val="bullet"/>
      <w:lvlText w:val=""/>
      <w:lvlJc w:val="left"/>
      <w:pPr>
        <w:tabs>
          <w:tab w:val="num" w:pos="2160"/>
        </w:tabs>
        <w:ind w:left="2160" w:hanging="360"/>
      </w:pPr>
      <w:rPr>
        <w:rFonts w:ascii="Wingdings" w:hAnsi="Wingdings" w:hint="default"/>
      </w:rPr>
    </w:lvl>
    <w:lvl w:ilvl="3" w:tplc="17C0A65E" w:tentative="1">
      <w:start w:val="1"/>
      <w:numFmt w:val="bullet"/>
      <w:lvlText w:val=""/>
      <w:lvlJc w:val="left"/>
      <w:pPr>
        <w:tabs>
          <w:tab w:val="num" w:pos="2880"/>
        </w:tabs>
        <w:ind w:left="2880" w:hanging="360"/>
      </w:pPr>
      <w:rPr>
        <w:rFonts w:ascii="Wingdings" w:hAnsi="Wingdings" w:hint="default"/>
      </w:rPr>
    </w:lvl>
    <w:lvl w:ilvl="4" w:tplc="E98434C4" w:tentative="1">
      <w:start w:val="1"/>
      <w:numFmt w:val="bullet"/>
      <w:lvlText w:val=""/>
      <w:lvlJc w:val="left"/>
      <w:pPr>
        <w:tabs>
          <w:tab w:val="num" w:pos="3600"/>
        </w:tabs>
        <w:ind w:left="3600" w:hanging="360"/>
      </w:pPr>
      <w:rPr>
        <w:rFonts w:ascii="Wingdings" w:hAnsi="Wingdings" w:hint="default"/>
      </w:rPr>
    </w:lvl>
    <w:lvl w:ilvl="5" w:tplc="8D5EB50C" w:tentative="1">
      <w:start w:val="1"/>
      <w:numFmt w:val="bullet"/>
      <w:lvlText w:val=""/>
      <w:lvlJc w:val="left"/>
      <w:pPr>
        <w:tabs>
          <w:tab w:val="num" w:pos="4320"/>
        </w:tabs>
        <w:ind w:left="4320" w:hanging="360"/>
      </w:pPr>
      <w:rPr>
        <w:rFonts w:ascii="Wingdings" w:hAnsi="Wingdings" w:hint="default"/>
      </w:rPr>
    </w:lvl>
    <w:lvl w:ilvl="6" w:tplc="4476F4C2" w:tentative="1">
      <w:start w:val="1"/>
      <w:numFmt w:val="bullet"/>
      <w:lvlText w:val=""/>
      <w:lvlJc w:val="left"/>
      <w:pPr>
        <w:tabs>
          <w:tab w:val="num" w:pos="5040"/>
        </w:tabs>
        <w:ind w:left="5040" w:hanging="360"/>
      </w:pPr>
      <w:rPr>
        <w:rFonts w:ascii="Wingdings" w:hAnsi="Wingdings" w:hint="default"/>
      </w:rPr>
    </w:lvl>
    <w:lvl w:ilvl="7" w:tplc="45D2F9CA" w:tentative="1">
      <w:start w:val="1"/>
      <w:numFmt w:val="bullet"/>
      <w:lvlText w:val=""/>
      <w:lvlJc w:val="left"/>
      <w:pPr>
        <w:tabs>
          <w:tab w:val="num" w:pos="5760"/>
        </w:tabs>
        <w:ind w:left="5760" w:hanging="360"/>
      </w:pPr>
      <w:rPr>
        <w:rFonts w:ascii="Wingdings" w:hAnsi="Wingdings" w:hint="default"/>
      </w:rPr>
    </w:lvl>
    <w:lvl w:ilvl="8" w:tplc="50C062B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86F56"/>
    <w:multiLevelType w:val="hybridMultilevel"/>
    <w:tmpl w:val="FA9CDF36"/>
    <w:lvl w:ilvl="0" w:tplc="D0062BA6">
      <w:start w:val="1"/>
      <w:numFmt w:val="bullet"/>
      <w:lvlText w:val=""/>
      <w:lvlJc w:val="left"/>
      <w:pPr>
        <w:tabs>
          <w:tab w:val="num" w:pos="720"/>
        </w:tabs>
        <w:ind w:left="720" w:hanging="360"/>
      </w:pPr>
      <w:rPr>
        <w:rFonts w:ascii="Wingdings" w:hAnsi="Wingdings" w:hint="default"/>
      </w:rPr>
    </w:lvl>
    <w:lvl w:ilvl="1" w:tplc="0DF4B6EA" w:tentative="1">
      <w:start w:val="1"/>
      <w:numFmt w:val="bullet"/>
      <w:lvlText w:val=""/>
      <w:lvlJc w:val="left"/>
      <w:pPr>
        <w:tabs>
          <w:tab w:val="num" w:pos="1440"/>
        </w:tabs>
        <w:ind w:left="1440" w:hanging="360"/>
      </w:pPr>
      <w:rPr>
        <w:rFonts w:ascii="Wingdings" w:hAnsi="Wingdings" w:hint="default"/>
      </w:rPr>
    </w:lvl>
    <w:lvl w:ilvl="2" w:tplc="DD38647A" w:tentative="1">
      <w:start w:val="1"/>
      <w:numFmt w:val="bullet"/>
      <w:lvlText w:val=""/>
      <w:lvlJc w:val="left"/>
      <w:pPr>
        <w:tabs>
          <w:tab w:val="num" w:pos="2160"/>
        </w:tabs>
        <w:ind w:left="2160" w:hanging="360"/>
      </w:pPr>
      <w:rPr>
        <w:rFonts w:ascii="Wingdings" w:hAnsi="Wingdings" w:hint="default"/>
      </w:rPr>
    </w:lvl>
    <w:lvl w:ilvl="3" w:tplc="0300720E" w:tentative="1">
      <w:start w:val="1"/>
      <w:numFmt w:val="bullet"/>
      <w:lvlText w:val=""/>
      <w:lvlJc w:val="left"/>
      <w:pPr>
        <w:tabs>
          <w:tab w:val="num" w:pos="2880"/>
        </w:tabs>
        <w:ind w:left="2880" w:hanging="360"/>
      </w:pPr>
      <w:rPr>
        <w:rFonts w:ascii="Wingdings" w:hAnsi="Wingdings" w:hint="default"/>
      </w:rPr>
    </w:lvl>
    <w:lvl w:ilvl="4" w:tplc="E2D0E2BC" w:tentative="1">
      <w:start w:val="1"/>
      <w:numFmt w:val="bullet"/>
      <w:lvlText w:val=""/>
      <w:lvlJc w:val="left"/>
      <w:pPr>
        <w:tabs>
          <w:tab w:val="num" w:pos="3600"/>
        </w:tabs>
        <w:ind w:left="3600" w:hanging="360"/>
      </w:pPr>
      <w:rPr>
        <w:rFonts w:ascii="Wingdings" w:hAnsi="Wingdings" w:hint="default"/>
      </w:rPr>
    </w:lvl>
    <w:lvl w:ilvl="5" w:tplc="C80865D0" w:tentative="1">
      <w:start w:val="1"/>
      <w:numFmt w:val="bullet"/>
      <w:lvlText w:val=""/>
      <w:lvlJc w:val="left"/>
      <w:pPr>
        <w:tabs>
          <w:tab w:val="num" w:pos="4320"/>
        </w:tabs>
        <w:ind w:left="4320" w:hanging="360"/>
      </w:pPr>
      <w:rPr>
        <w:rFonts w:ascii="Wingdings" w:hAnsi="Wingdings" w:hint="default"/>
      </w:rPr>
    </w:lvl>
    <w:lvl w:ilvl="6" w:tplc="66A43AFE" w:tentative="1">
      <w:start w:val="1"/>
      <w:numFmt w:val="bullet"/>
      <w:lvlText w:val=""/>
      <w:lvlJc w:val="left"/>
      <w:pPr>
        <w:tabs>
          <w:tab w:val="num" w:pos="5040"/>
        </w:tabs>
        <w:ind w:left="5040" w:hanging="360"/>
      </w:pPr>
      <w:rPr>
        <w:rFonts w:ascii="Wingdings" w:hAnsi="Wingdings" w:hint="default"/>
      </w:rPr>
    </w:lvl>
    <w:lvl w:ilvl="7" w:tplc="810AD39A" w:tentative="1">
      <w:start w:val="1"/>
      <w:numFmt w:val="bullet"/>
      <w:lvlText w:val=""/>
      <w:lvlJc w:val="left"/>
      <w:pPr>
        <w:tabs>
          <w:tab w:val="num" w:pos="5760"/>
        </w:tabs>
        <w:ind w:left="5760" w:hanging="360"/>
      </w:pPr>
      <w:rPr>
        <w:rFonts w:ascii="Wingdings" w:hAnsi="Wingdings" w:hint="default"/>
      </w:rPr>
    </w:lvl>
    <w:lvl w:ilvl="8" w:tplc="3BB03E2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BB4048"/>
    <w:multiLevelType w:val="hybridMultilevel"/>
    <w:tmpl w:val="8CD2E3CC"/>
    <w:lvl w:ilvl="0" w:tplc="A9F24278">
      <w:start w:val="1"/>
      <w:numFmt w:val="bullet"/>
      <w:lvlText w:val=""/>
      <w:lvlJc w:val="left"/>
      <w:pPr>
        <w:tabs>
          <w:tab w:val="num" w:pos="720"/>
        </w:tabs>
        <w:ind w:left="720" w:hanging="360"/>
      </w:pPr>
      <w:rPr>
        <w:rFonts w:ascii="Wingdings" w:hAnsi="Wingdings" w:hint="default"/>
      </w:rPr>
    </w:lvl>
    <w:lvl w:ilvl="1" w:tplc="44D89F00" w:tentative="1">
      <w:start w:val="1"/>
      <w:numFmt w:val="bullet"/>
      <w:lvlText w:val=""/>
      <w:lvlJc w:val="left"/>
      <w:pPr>
        <w:tabs>
          <w:tab w:val="num" w:pos="1440"/>
        </w:tabs>
        <w:ind w:left="1440" w:hanging="360"/>
      </w:pPr>
      <w:rPr>
        <w:rFonts w:ascii="Wingdings" w:hAnsi="Wingdings" w:hint="default"/>
      </w:rPr>
    </w:lvl>
    <w:lvl w:ilvl="2" w:tplc="5DF4AF08" w:tentative="1">
      <w:start w:val="1"/>
      <w:numFmt w:val="bullet"/>
      <w:lvlText w:val=""/>
      <w:lvlJc w:val="left"/>
      <w:pPr>
        <w:tabs>
          <w:tab w:val="num" w:pos="2160"/>
        </w:tabs>
        <w:ind w:left="2160" w:hanging="360"/>
      </w:pPr>
      <w:rPr>
        <w:rFonts w:ascii="Wingdings" w:hAnsi="Wingdings" w:hint="default"/>
      </w:rPr>
    </w:lvl>
    <w:lvl w:ilvl="3" w:tplc="68341AE6" w:tentative="1">
      <w:start w:val="1"/>
      <w:numFmt w:val="bullet"/>
      <w:lvlText w:val=""/>
      <w:lvlJc w:val="left"/>
      <w:pPr>
        <w:tabs>
          <w:tab w:val="num" w:pos="2880"/>
        </w:tabs>
        <w:ind w:left="2880" w:hanging="360"/>
      </w:pPr>
      <w:rPr>
        <w:rFonts w:ascii="Wingdings" w:hAnsi="Wingdings" w:hint="default"/>
      </w:rPr>
    </w:lvl>
    <w:lvl w:ilvl="4" w:tplc="4CA0F3D4" w:tentative="1">
      <w:start w:val="1"/>
      <w:numFmt w:val="bullet"/>
      <w:lvlText w:val=""/>
      <w:lvlJc w:val="left"/>
      <w:pPr>
        <w:tabs>
          <w:tab w:val="num" w:pos="3600"/>
        </w:tabs>
        <w:ind w:left="3600" w:hanging="360"/>
      </w:pPr>
      <w:rPr>
        <w:rFonts w:ascii="Wingdings" w:hAnsi="Wingdings" w:hint="default"/>
      </w:rPr>
    </w:lvl>
    <w:lvl w:ilvl="5" w:tplc="C9BCD9D6" w:tentative="1">
      <w:start w:val="1"/>
      <w:numFmt w:val="bullet"/>
      <w:lvlText w:val=""/>
      <w:lvlJc w:val="left"/>
      <w:pPr>
        <w:tabs>
          <w:tab w:val="num" w:pos="4320"/>
        </w:tabs>
        <w:ind w:left="4320" w:hanging="360"/>
      </w:pPr>
      <w:rPr>
        <w:rFonts w:ascii="Wingdings" w:hAnsi="Wingdings" w:hint="default"/>
      </w:rPr>
    </w:lvl>
    <w:lvl w:ilvl="6" w:tplc="721AC41A" w:tentative="1">
      <w:start w:val="1"/>
      <w:numFmt w:val="bullet"/>
      <w:lvlText w:val=""/>
      <w:lvlJc w:val="left"/>
      <w:pPr>
        <w:tabs>
          <w:tab w:val="num" w:pos="5040"/>
        </w:tabs>
        <w:ind w:left="5040" w:hanging="360"/>
      </w:pPr>
      <w:rPr>
        <w:rFonts w:ascii="Wingdings" w:hAnsi="Wingdings" w:hint="default"/>
      </w:rPr>
    </w:lvl>
    <w:lvl w:ilvl="7" w:tplc="C60402DA" w:tentative="1">
      <w:start w:val="1"/>
      <w:numFmt w:val="bullet"/>
      <w:lvlText w:val=""/>
      <w:lvlJc w:val="left"/>
      <w:pPr>
        <w:tabs>
          <w:tab w:val="num" w:pos="5760"/>
        </w:tabs>
        <w:ind w:left="5760" w:hanging="360"/>
      </w:pPr>
      <w:rPr>
        <w:rFonts w:ascii="Wingdings" w:hAnsi="Wingdings" w:hint="default"/>
      </w:rPr>
    </w:lvl>
    <w:lvl w:ilvl="8" w:tplc="CFEAF4E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D33492"/>
    <w:multiLevelType w:val="hybridMultilevel"/>
    <w:tmpl w:val="A8400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0552E"/>
    <w:multiLevelType w:val="multilevel"/>
    <w:tmpl w:val="4F561382"/>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A65FB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B04E23"/>
    <w:multiLevelType w:val="hybridMultilevel"/>
    <w:tmpl w:val="4D1C80E8"/>
    <w:lvl w:ilvl="0" w:tplc="670A5E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578A030C"/>
    <w:multiLevelType w:val="hybridMultilevel"/>
    <w:tmpl w:val="0DA4C75E"/>
    <w:lvl w:ilvl="0" w:tplc="00B6BFAE">
      <w:start w:val="1"/>
      <w:numFmt w:val="bullet"/>
      <w:lvlText w:val=""/>
      <w:lvlJc w:val="left"/>
      <w:pPr>
        <w:tabs>
          <w:tab w:val="num" w:pos="720"/>
        </w:tabs>
        <w:ind w:left="720" w:hanging="360"/>
      </w:pPr>
      <w:rPr>
        <w:rFonts w:ascii="Wingdings" w:hAnsi="Wingdings" w:hint="default"/>
      </w:rPr>
    </w:lvl>
    <w:lvl w:ilvl="1" w:tplc="0E20301E" w:tentative="1">
      <w:start w:val="1"/>
      <w:numFmt w:val="bullet"/>
      <w:lvlText w:val=""/>
      <w:lvlJc w:val="left"/>
      <w:pPr>
        <w:tabs>
          <w:tab w:val="num" w:pos="1440"/>
        </w:tabs>
        <w:ind w:left="1440" w:hanging="360"/>
      </w:pPr>
      <w:rPr>
        <w:rFonts w:ascii="Wingdings" w:hAnsi="Wingdings" w:hint="default"/>
      </w:rPr>
    </w:lvl>
    <w:lvl w:ilvl="2" w:tplc="578E425C" w:tentative="1">
      <w:start w:val="1"/>
      <w:numFmt w:val="bullet"/>
      <w:lvlText w:val=""/>
      <w:lvlJc w:val="left"/>
      <w:pPr>
        <w:tabs>
          <w:tab w:val="num" w:pos="2160"/>
        </w:tabs>
        <w:ind w:left="2160" w:hanging="360"/>
      </w:pPr>
      <w:rPr>
        <w:rFonts w:ascii="Wingdings" w:hAnsi="Wingdings" w:hint="default"/>
      </w:rPr>
    </w:lvl>
    <w:lvl w:ilvl="3" w:tplc="20A00208" w:tentative="1">
      <w:start w:val="1"/>
      <w:numFmt w:val="bullet"/>
      <w:lvlText w:val=""/>
      <w:lvlJc w:val="left"/>
      <w:pPr>
        <w:tabs>
          <w:tab w:val="num" w:pos="2880"/>
        </w:tabs>
        <w:ind w:left="2880" w:hanging="360"/>
      </w:pPr>
      <w:rPr>
        <w:rFonts w:ascii="Wingdings" w:hAnsi="Wingdings" w:hint="default"/>
      </w:rPr>
    </w:lvl>
    <w:lvl w:ilvl="4" w:tplc="409C181E" w:tentative="1">
      <w:start w:val="1"/>
      <w:numFmt w:val="bullet"/>
      <w:lvlText w:val=""/>
      <w:lvlJc w:val="left"/>
      <w:pPr>
        <w:tabs>
          <w:tab w:val="num" w:pos="3600"/>
        </w:tabs>
        <w:ind w:left="3600" w:hanging="360"/>
      </w:pPr>
      <w:rPr>
        <w:rFonts w:ascii="Wingdings" w:hAnsi="Wingdings" w:hint="default"/>
      </w:rPr>
    </w:lvl>
    <w:lvl w:ilvl="5" w:tplc="9AC4E95E" w:tentative="1">
      <w:start w:val="1"/>
      <w:numFmt w:val="bullet"/>
      <w:lvlText w:val=""/>
      <w:lvlJc w:val="left"/>
      <w:pPr>
        <w:tabs>
          <w:tab w:val="num" w:pos="4320"/>
        </w:tabs>
        <w:ind w:left="4320" w:hanging="360"/>
      </w:pPr>
      <w:rPr>
        <w:rFonts w:ascii="Wingdings" w:hAnsi="Wingdings" w:hint="default"/>
      </w:rPr>
    </w:lvl>
    <w:lvl w:ilvl="6" w:tplc="7E4E1A70" w:tentative="1">
      <w:start w:val="1"/>
      <w:numFmt w:val="bullet"/>
      <w:lvlText w:val=""/>
      <w:lvlJc w:val="left"/>
      <w:pPr>
        <w:tabs>
          <w:tab w:val="num" w:pos="5040"/>
        </w:tabs>
        <w:ind w:left="5040" w:hanging="360"/>
      </w:pPr>
      <w:rPr>
        <w:rFonts w:ascii="Wingdings" w:hAnsi="Wingdings" w:hint="default"/>
      </w:rPr>
    </w:lvl>
    <w:lvl w:ilvl="7" w:tplc="90E4F42C" w:tentative="1">
      <w:start w:val="1"/>
      <w:numFmt w:val="bullet"/>
      <w:lvlText w:val=""/>
      <w:lvlJc w:val="left"/>
      <w:pPr>
        <w:tabs>
          <w:tab w:val="num" w:pos="5760"/>
        </w:tabs>
        <w:ind w:left="5760" w:hanging="360"/>
      </w:pPr>
      <w:rPr>
        <w:rFonts w:ascii="Wingdings" w:hAnsi="Wingdings" w:hint="default"/>
      </w:rPr>
    </w:lvl>
    <w:lvl w:ilvl="8" w:tplc="EDA0917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1"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9"/>
  </w:num>
  <w:num w:numId="2">
    <w:abstractNumId w:val="6"/>
  </w:num>
  <w:num w:numId="3">
    <w:abstractNumId w:val="14"/>
  </w:num>
  <w:num w:numId="4">
    <w:abstractNumId w:val="22"/>
  </w:num>
  <w:num w:numId="5">
    <w:abstractNumId w:val="23"/>
  </w:num>
  <w:num w:numId="6">
    <w:abstractNumId w:val="1"/>
  </w:num>
  <w:num w:numId="7">
    <w:abstractNumId w:val="24"/>
  </w:num>
  <w:num w:numId="8">
    <w:abstractNumId w:val="20"/>
  </w:num>
  <w:num w:numId="9">
    <w:abstractNumId w:val="18"/>
  </w:num>
  <w:num w:numId="10">
    <w:abstractNumId w:val="19"/>
  </w:num>
  <w:num w:numId="11">
    <w:abstractNumId w:val="13"/>
  </w:num>
  <w:num w:numId="12">
    <w:abstractNumId w:val="12"/>
  </w:num>
  <w:num w:numId="13">
    <w:abstractNumId w:val="0"/>
  </w:num>
  <w:num w:numId="14">
    <w:abstractNumId w:val="8"/>
  </w:num>
  <w:num w:numId="15">
    <w:abstractNumId w:val="7"/>
  </w:num>
  <w:num w:numId="16">
    <w:abstractNumId w:val="21"/>
  </w:num>
  <w:num w:numId="17">
    <w:abstractNumId w:val="11"/>
  </w:num>
  <w:num w:numId="18">
    <w:abstractNumId w:val="5"/>
  </w:num>
  <w:num w:numId="19">
    <w:abstractNumId w:val="15"/>
  </w:num>
  <w:num w:numId="20">
    <w:abstractNumId w:val="16"/>
  </w:num>
  <w:num w:numId="21">
    <w:abstractNumId w:val="10"/>
  </w:num>
  <w:num w:numId="22">
    <w:abstractNumId w:val="3"/>
  </w:num>
  <w:num w:numId="23">
    <w:abstractNumId w:val="2"/>
  </w:num>
  <w:num w:numId="24">
    <w:abstractNumId w:val="17"/>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8A1"/>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0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57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8A"/>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7DC"/>
    <w:rsid w:val="00155FBF"/>
    <w:rsid w:val="00156366"/>
    <w:rsid w:val="00156547"/>
    <w:rsid w:val="00156740"/>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DBF"/>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5F07"/>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2E78"/>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9D6"/>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A95"/>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583"/>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2F7EAB"/>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4D8E"/>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0FE0"/>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3F70"/>
    <w:rsid w:val="00444016"/>
    <w:rsid w:val="00444251"/>
    <w:rsid w:val="00444468"/>
    <w:rsid w:val="00444A62"/>
    <w:rsid w:val="00444B0E"/>
    <w:rsid w:val="00445044"/>
    <w:rsid w:val="0044525E"/>
    <w:rsid w:val="004453B8"/>
    <w:rsid w:val="00445581"/>
    <w:rsid w:val="00445983"/>
    <w:rsid w:val="00446334"/>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525"/>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52"/>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1608"/>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1B9"/>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540"/>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959"/>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0FEA"/>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A50"/>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30"/>
    <w:rsid w:val="00877CCD"/>
    <w:rsid w:val="00877E49"/>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14C"/>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195"/>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D7"/>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0E9A"/>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9F5"/>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031"/>
    <w:rsid w:val="00A52256"/>
    <w:rsid w:val="00A5229E"/>
    <w:rsid w:val="00A52B2E"/>
    <w:rsid w:val="00A52D3F"/>
    <w:rsid w:val="00A533A8"/>
    <w:rsid w:val="00A5348C"/>
    <w:rsid w:val="00A536CC"/>
    <w:rsid w:val="00A53809"/>
    <w:rsid w:val="00A538B9"/>
    <w:rsid w:val="00A53FAE"/>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02B"/>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E7F84"/>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9E"/>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BD2"/>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4E08"/>
    <w:rsid w:val="00C75420"/>
    <w:rsid w:val="00C75C1D"/>
    <w:rsid w:val="00C75C9E"/>
    <w:rsid w:val="00C76571"/>
    <w:rsid w:val="00C769F5"/>
    <w:rsid w:val="00C76BF8"/>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FC7"/>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9B7"/>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0F4"/>
    <w:rsid w:val="00D76672"/>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D94"/>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01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84"/>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1E"/>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2F0C"/>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9ED"/>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2F82"/>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C18"/>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F52"/>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665"/>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C7A26"/>
    <w:rsid w:val="00FD033A"/>
    <w:rsid w:val="00FD03CC"/>
    <w:rsid w:val="00FD049E"/>
    <w:rsid w:val="00FD0839"/>
    <w:rsid w:val="00FD0AD2"/>
    <w:rsid w:val="00FD0D01"/>
    <w:rsid w:val="00FD0D04"/>
    <w:rsid w:val="00FD112F"/>
    <w:rsid w:val="00FD1566"/>
    <w:rsid w:val="00FD16D1"/>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table" w:customStyle="1" w:styleId="TableGrid1">
    <w:name w:val="Table Grid1"/>
    <w:basedOn w:val="TableNormal"/>
    <w:uiPriority w:val="59"/>
    <w:rsid w:val="00291A95"/>
    <w:rPr>
      <w:rFonts w:ascii="Calibri" w:eastAsia="SimSun" w:hAnsi="Calibri"/>
      <w:sz w:val="22"/>
      <w:szCs w:val="22"/>
      <w:lang w:val="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352144">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0863565">
      <w:bodyDiv w:val="1"/>
      <w:marLeft w:val="0"/>
      <w:marRight w:val="0"/>
      <w:marTop w:val="0"/>
      <w:marBottom w:val="0"/>
      <w:divBdr>
        <w:top w:val="none" w:sz="0" w:space="0" w:color="auto"/>
        <w:left w:val="none" w:sz="0" w:space="0" w:color="auto"/>
        <w:bottom w:val="none" w:sz="0" w:space="0" w:color="auto"/>
        <w:right w:val="none" w:sz="0" w:space="0" w:color="auto"/>
      </w:divBdr>
      <w:divsChild>
        <w:div w:id="1219052385">
          <w:marLeft w:val="446"/>
          <w:marRight w:val="0"/>
          <w:marTop w:val="0"/>
          <w:marBottom w:val="0"/>
          <w:divBdr>
            <w:top w:val="none" w:sz="0" w:space="0" w:color="auto"/>
            <w:left w:val="none" w:sz="0" w:space="0" w:color="auto"/>
            <w:bottom w:val="none" w:sz="0" w:space="0" w:color="auto"/>
            <w:right w:val="none" w:sz="0" w:space="0" w:color="auto"/>
          </w:divBdr>
        </w:div>
        <w:div w:id="2075736800">
          <w:marLeft w:val="446"/>
          <w:marRight w:val="0"/>
          <w:marTop w:val="0"/>
          <w:marBottom w:val="0"/>
          <w:divBdr>
            <w:top w:val="none" w:sz="0" w:space="0" w:color="auto"/>
            <w:left w:val="none" w:sz="0" w:space="0" w:color="auto"/>
            <w:bottom w:val="none" w:sz="0" w:space="0" w:color="auto"/>
            <w:right w:val="none" w:sz="0" w:space="0" w:color="auto"/>
          </w:divBdr>
        </w:div>
        <w:div w:id="1920752389">
          <w:marLeft w:val="446"/>
          <w:marRight w:val="0"/>
          <w:marTop w:val="0"/>
          <w:marBottom w:val="0"/>
          <w:divBdr>
            <w:top w:val="none" w:sz="0" w:space="0" w:color="auto"/>
            <w:left w:val="none" w:sz="0" w:space="0" w:color="auto"/>
            <w:bottom w:val="none" w:sz="0" w:space="0" w:color="auto"/>
            <w:right w:val="none" w:sz="0" w:space="0" w:color="auto"/>
          </w:divBdr>
        </w:div>
        <w:div w:id="357435494">
          <w:marLeft w:val="446"/>
          <w:marRight w:val="0"/>
          <w:marTop w:val="0"/>
          <w:marBottom w:val="0"/>
          <w:divBdr>
            <w:top w:val="none" w:sz="0" w:space="0" w:color="auto"/>
            <w:left w:val="none" w:sz="0" w:space="0" w:color="auto"/>
            <w:bottom w:val="none" w:sz="0" w:space="0" w:color="auto"/>
            <w:right w:val="none" w:sz="0" w:space="0" w:color="auto"/>
          </w:divBdr>
        </w:div>
        <w:div w:id="240527300">
          <w:marLeft w:val="446"/>
          <w:marRight w:val="0"/>
          <w:marTop w:val="0"/>
          <w:marBottom w:val="0"/>
          <w:divBdr>
            <w:top w:val="none" w:sz="0" w:space="0" w:color="auto"/>
            <w:left w:val="none" w:sz="0" w:space="0" w:color="auto"/>
            <w:bottom w:val="none" w:sz="0" w:space="0" w:color="auto"/>
            <w:right w:val="none" w:sz="0" w:space="0" w:color="auto"/>
          </w:divBdr>
        </w:div>
      </w:divsChild>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2621784">
      <w:bodyDiv w:val="1"/>
      <w:marLeft w:val="0"/>
      <w:marRight w:val="0"/>
      <w:marTop w:val="0"/>
      <w:marBottom w:val="0"/>
      <w:divBdr>
        <w:top w:val="none" w:sz="0" w:space="0" w:color="auto"/>
        <w:left w:val="none" w:sz="0" w:space="0" w:color="auto"/>
        <w:bottom w:val="none" w:sz="0" w:space="0" w:color="auto"/>
        <w:right w:val="none" w:sz="0" w:space="0" w:color="auto"/>
      </w:divBdr>
      <w:divsChild>
        <w:div w:id="874733589">
          <w:marLeft w:val="446"/>
          <w:marRight w:val="0"/>
          <w:marTop w:val="0"/>
          <w:marBottom w:val="0"/>
          <w:divBdr>
            <w:top w:val="none" w:sz="0" w:space="0" w:color="auto"/>
            <w:left w:val="none" w:sz="0" w:space="0" w:color="auto"/>
            <w:bottom w:val="none" w:sz="0" w:space="0" w:color="auto"/>
            <w:right w:val="none" w:sz="0" w:space="0" w:color="auto"/>
          </w:divBdr>
        </w:div>
        <w:div w:id="1636371827">
          <w:marLeft w:val="446"/>
          <w:marRight w:val="0"/>
          <w:marTop w:val="0"/>
          <w:marBottom w:val="0"/>
          <w:divBdr>
            <w:top w:val="none" w:sz="0" w:space="0" w:color="auto"/>
            <w:left w:val="none" w:sz="0" w:space="0" w:color="auto"/>
            <w:bottom w:val="none" w:sz="0" w:space="0" w:color="auto"/>
            <w:right w:val="none" w:sz="0" w:space="0" w:color="auto"/>
          </w:divBdr>
        </w:div>
        <w:div w:id="1323505404">
          <w:marLeft w:val="446"/>
          <w:marRight w:val="0"/>
          <w:marTop w:val="0"/>
          <w:marBottom w:val="0"/>
          <w:divBdr>
            <w:top w:val="none" w:sz="0" w:space="0" w:color="auto"/>
            <w:left w:val="none" w:sz="0" w:space="0" w:color="auto"/>
            <w:bottom w:val="none" w:sz="0" w:space="0" w:color="auto"/>
            <w:right w:val="none" w:sz="0" w:space="0" w:color="auto"/>
          </w:divBdr>
        </w:div>
        <w:div w:id="610818972">
          <w:marLeft w:val="446"/>
          <w:marRight w:val="0"/>
          <w:marTop w:val="0"/>
          <w:marBottom w:val="0"/>
          <w:divBdr>
            <w:top w:val="none" w:sz="0" w:space="0" w:color="auto"/>
            <w:left w:val="none" w:sz="0" w:space="0" w:color="auto"/>
            <w:bottom w:val="none" w:sz="0" w:space="0" w:color="auto"/>
            <w:right w:val="none" w:sz="0" w:space="0" w:color="auto"/>
          </w:divBdr>
        </w:div>
      </w:divsChild>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7069577">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3980607">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560466">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3EQ6UJ4K66FU-4-3851</_dlc_DocId>
    <_dlc_DocIdUrl xmlns="df4eea7b-52db-4162-980b-b352f1b580a3">
      <Url>https://projects.qualcomm.com/sites/meridian/_layouts/15/DocIdRedir.aspx?ID=3EQ6UJ4K66FU-4-3851</Url>
      <Description>3EQ6UJ4K66FU-4-3851</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77BD6489-DE8D-4093-81C5-5E8E415D75DA}">
  <ds:schemaRefs>
    <ds:schemaRef ds:uri="http://schemas.openxmlformats.org/officeDocument/2006/bibliography"/>
  </ds:schemaRefs>
</ds:datastoreItem>
</file>

<file path=customXml/itemProps6.xml><?xml version="1.0" encoding="utf-8"?>
<ds:datastoreItem xmlns:ds="http://schemas.openxmlformats.org/officeDocument/2006/customXml" ds:itemID="{C143D3D3-C9CF-4228-A681-7D44634CA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2947</TotalTime>
  <Pages>5</Pages>
  <Words>1875</Words>
  <Characters>10784</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Jing Sun</cp:lastModifiedBy>
  <cp:revision>42</cp:revision>
  <cp:lastPrinted>2010-08-13T21:54:00Z</cp:lastPrinted>
  <dcterms:created xsi:type="dcterms:W3CDTF">2017-12-19T08:06:00Z</dcterms:created>
  <dcterms:modified xsi:type="dcterms:W3CDTF">2018-02-16T19:54:00Z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d4cb34b5-e9e2-4f30-83d7-81ed71d84440</vt:lpwstr>
  </property>
</Properties>
</file>